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29E" w:rsidRDefault="00C9129E">
      <w:pPr>
        <w:pStyle w:val="Style1"/>
        <w:kinsoku w:val="0"/>
        <w:autoSpaceDE/>
        <w:autoSpaceDN/>
        <w:adjustRightInd/>
        <w:spacing w:before="540" w:line="196" w:lineRule="auto"/>
        <w:ind w:left="2088"/>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RESOLUCION No. TAT-2127-2013</w:t>
      </w:r>
    </w:p>
    <w:p w:rsidR="00C9129E" w:rsidRDefault="00C9129E" w:rsidP="00105FEA">
      <w:pPr>
        <w:pStyle w:val="Style1"/>
        <w:kinsoku w:val="0"/>
        <w:autoSpaceDE/>
        <w:autoSpaceDN/>
        <w:adjustRightInd/>
        <w:spacing w:before="504" w:line="264" w:lineRule="auto"/>
        <w:ind w:right="191"/>
        <w:jc w:val="both"/>
        <w:rPr>
          <w:rFonts w:ascii="Verdana" w:hAnsi="Verdana" w:cs="Verdana"/>
          <w:w w:val="110"/>
          <w:sz w:val="19"/>
          <w:szCs w:val="19"/>
          <w:lang w:val="es-ES" w:eastAsia="es-ES"/>
        </w:rPr>
      </w:pPr>
      <w:r>
        <w:rPr>
          <w:rFonts w:ascii="Verdana" w:hAnsi="Verdana" w:cs="Verdana"/>
          <w:b/>
          <w:bCs/>
          <w:w w:val="105"/>
          <w:sz w:val="20"/>
          <w:szCs w:val="20"/>
          <w:lang w:val="es-ES" w:eastAsia="es-ES"/>
        </w:rPr>
        <w:t xml:space="preserve">TRIBUNAL ADMINISTRATIVO DE TRANSPORTE. </w:t>
      </w:r>
      <w:r>
        <w:rPr>
          <w:rFonts w:ascii="Verdana" w:hAnsi="Verdana" w:cs="Verdana"/>
          <w:w w:val="110"/>
          <w:sz w:val="19"/>
          <w:szCs w:val="19"/>
          <w:lang w:val="es-ES" w:eastAsia="es-ES"/>
        </w:rPr>
        <w:t>San José, a las once horas treinta y un minutos del treinta de enero de dos mil trece.</w:t>
      </w:r>
    </w:p>
    <w:p w:rsidR="00C9129E" w:rsidRDefault="00C9129E" w:rsidP="00105FEA">
      <w:pPr>
        <w:pStyle w:val="Style1"/>
        <w:kinsoku w:val="0"/>
        <w:autoSpaceDE/>
        <w:autoSpaceDN/>
        <w:adjustRightInd/>
        <w:spacing w:before="540"/>
        <w:ind w:right="191"/>
        <w:jc w:val="both"/>
        <w:rPr>
          <w:rFonts w:ascii="Verdana" w:hAnsi="Verdana" w:cs="Verdana"/>
          <w:b/>
          <w:bCs/>
          <w:w w:val="105"/>
          <w:sz w:val="20"/>
          <w:szCs w:val="20"/>
          <w:lang w:val="es-ES" w:eastAsia="es-ES"/>
        </w:rPr>
      </w:pPr>
      <w:r>
        <w:rPr>
          <w:rFonts w:ascii="Verdana" w:hAnsi="Verdana" w:cs="Verdana"/>
          <w:spacing w:val="-3"/>
          <w:w w:val="110"/>
          <w:sz w:val="19"/>
          <w:szCs w:val="19"/>
          <w:lang w:val="es-ES" w:eastAsia="es-ES"/>
        </w:rPr>
        <w:t xml:space="preserve">Recurso de Apelación y Nulidad Absoluta, interpuestos por el señor </w:t>
      </w:r>
      <w:r>
        <w:rPr>
          <w:rFonts w:ascii="Verdana" w:hAnsi="Verdana" w:cs="Verdana"/>
          <w:b/>
          <w:bCs/>
          <w:spacing w:val="-3"/>
          <w:sz w:val="18"/>
          <w:szCs w:val="18"/>
          <w:lang w:val="es-ES" w:eastAsia="es-ES"/>
        </w:rPr>
        <w:t>D</w:t>
      </w:r>
      <w:r w:rsidR="00B17A12">
        <w:rPr>
          <w:rFonts w:ascii="Verdana" w:hAnsi="Verdana" w:cs="Verdana"/>
          <w:b/>
          <w:bCs/>
          <w:spacing w:val="-3"/>
          <w:sz w:val="18"/>
          <w:szCs w:val="18"/>
          <w:lang w:val="es-ES" w:eastAsia="es-ES"/>
        </w:rPr>
        <w:t>.</w:t>
      </w:r>
      <w:r>
        <w:rPr>
          <w:rFonts w:ascii="Verdana" w:hAnsi="Verdana" w:cs="Verdana"/>
          <w:b/>
          <w:bCs/>
          <w:spacing w:val="-3"/>
          <w:sz w:val="18"/>
          <w:szCs w:val="18"/>
          <w:lang w:val="es-ES" w:eastAsia="es-ES"/>
        </w:rPr>
        <w:t>A</w:t>
      </w:r>
      <w:r w:rsidR="00B17A12">
        <w:rPr>
          <w:rFonts w:ascii="Verdana" w:hAnsi="Verdana" w:cs="Verdana"/>
          <w:b/>
          <w:bCs/>
          <w:spacing w:val="-3"/>
          <w:sz w:val="18"/>
          <w:szCs w:val="18"/>
          <w:lang w:val="es-ES" w:eastAsia="es-ES"/>
        </w:rPr>
        <w:t>.</w:t>
      </w:r>
      <w:r>
        <w:rPr>
          <w:rFonts w:ascii="Verdana" w:hAnsi="Verdana" w:cs="Verdana"/>
          <w:b/>
          <w:bCs/>
          <w:spacing w:val="-3"/>
          <w:sz w:val="18"/>
          <w:szCs w:val="18"/>
          <w:lang w:val="es-ES" w:eastAsia="es-ES"/>
        </w:rPr>
        <w:t>S</w:t>
      </w:r>
      <w:r w:rsidR="00B17A12">
        <w:rPr>
          <w:rFonts w:ascii="Verdana" w:hAnsi="Verdana" w:cs="Verdana"/>
          <w:b/>
          <w:bCs/>
          <w:spacing w:val="-3"/>
          <w:sz w:val="18"/>
          <w:szCs w:val="18"/>
          <w:lang w:val="es-ES" w:eastAsia="es-ES"/>
        </w:rPr>
        <w:t>.</w:t>
      </w:r>
      <w:r>
        <w:rPr>
          <w:rFonts w:ascii="Verdana" w:hAnsi="Verdana" w:cs="Verdana"/>
          <w:b/>
          <w:bCs/>
          <w:spacing w:val="-3"/>
          <w:sz w:val="18"/>
          <w:szCs w:val="18"/>
          <w:lang w:val="es-ES" w:eastAsia="es-ES"/>
        </w:rPr>
        <w:t>V</w:t>
      </w:r>
      <w:r w:rsidR="00B17A12">
        <w:rPr>
          <w:rFonts w:ascii="Verdana" w:hAnsi="Verdana" w:cs="Verdana"/>
          <w:b/>
          <w:bCs/>
          <w:spacing w:val="-3"/>
          <w:sz w:val="18"/>
          <w:szCs w:val="18"/>
          <w:lang w:val="es-ES" w:eastAsia="es-ES"/>
        </w:rPr>
        <w:t>.</w:t>
      </w:r>
      <w:r>
        <w:rPr>
          <w:rFonts w:ascii="Verdana" w:hAnsi="Verdana" w:cs="Verdana"/>
          <w:b/>
          <w:bCs/>
          <w:spacing w:val="-3"/>
          <w:sz w:val="18"/>
          <w:szCs w:val="18"/>
          <w:lang w:val="es-ES" w:eastAsia="es-ES"/>
        </w:rPr>
        <w:t xml:space="preserve">, </w:t>
      </w:r>
      <w:r>
        <w:rPr>
          <w:rFonts w:ascii="Verdana" w:hAnsi="Verdana" w:cs="Verdana"/>
          <w:spacing w:val="-3"/>
          <w:w w:val="110"/>
          <w:sz w:val="19"/>
          <w:szCs w:val="19"/>
          <w:lang w:val="es-ES" w:eastAsia="es-ES"/>
        </w:rPr>
        <w:t xml:space="preserve">cédula de identidad </w:t>
      </w:r>
      <w:proofErr w:type="gramStart"/>
      <w:r>
        <w:rPr>
          <w:rFonts w:ascii="Verdana" w:hAnsi="Verdana" w:cs="Verdana"/>
          <w:spacing w:val="-3"/>
          <w:w w:val="110"/>
          <w:sz w:val="19"/>
          <w:szCs w:val="19"/>
          <w:lang w:val="es-ES" w:eastAsia="es-ES"/>
        </w:rPr>
        <w:t xml:space="preserve">número </w:t>
      </w:r>
      <w:r w:rsidR="00B17A12">
        <w:rPr>
          <w:rFonts w:ascii="Verdana" w:hAnsi="Verdana" w:cs="Verdana"/>
          <w:spacing w:val="-3"/>
          <w:w w:val="110"/>
          <w:sz w:val="19"/>
          <w:szCs w:val="19"/>
          <w:lang w:val="es-ES" w:eastAsia="es-ES"/>
        </w:rPr>
        <w:t>…</w:t>
      </w:r>
      <w:proofErr w:type="gramEnd"/>
      <w:r>
        <w:rPr>
          <w:rFonts w:ascii="Verdana" w:hAnsi="Verdana" w:cs="Verdana"/>
          <w:spacing w:val="-3"/>
          <w:w w:val="110"/>
          <w:sz w:val="19"/>
          <w:szCs w:val="19"/>
          <w:lang w:val="es-ES" w:eastAsia="es-ES"/>
        </w:rPr>
        <w:t xml:space="preserve">, en su </w:t>
      </w:r>
      <w:r>
        <w:rPr>
          <w:rFonts w:ascii="Verdana" w:hAnsi="Verdana" w:cs="Verdana"/>
          <w:spacing w:val="1"/>
          <w:w w:val="110"/>
          <w:sz w:val="19"/>
          <w:szCs w:val="19"/>
          <w:lang w:val="es-ES" w:eastAsia="es-ES"/>
        </w:rPr>
        <w:t xml:space="preserve">condición de oferente del concurso público, para la adjudicación de 1034 </w:t>
      </w:r>
      <w:r>
        <w:rPr>
          <w:rFonts w:ascii="Verdana" w:hAnsi="Verdana" w:cs="Verdana"/>
          <w:spacing w:val="3"/>
          <w:w w:val="110"/>
          <w:sz w:val="19"/>
          <w:szCs w:val="19"/>
          <w:lang w:val="es-ES" w:eastAsia="es-ES"/>
        </w:rPr>
        <w:t xml:space="preserve">placas de Taxi de vehículos adaptados para personas con discapacidad, </w:t>
      </w:r>
      <w:r>
        <w:rPr>
          <w:rFonts w:ascii="Verdana" w:hAnsi="Verdana" w:cs="Verdana"/>
          <w:spacing w:val="5"/>
          <w:w w:val="110"/>
          <w:sz w:val="19"/>
          <w:szCs w:val="19"/>
          <w:lang w:val="es-ES" w:eastAsia="es-ES"/>
        </w:rPr>
        <w:t xml:space="preserve">contra el </w:t>
      </w:r>
      <w:r>
        <w:rPr>
          <w:rFonts w:ascii="Verdana" w:hAnsi="Verdana" w:cs="Verdana"/>
          <w:b/>
          <w:bCs/>
          <w:spacing w:val="5"/>
          <w:w w:val="105"/>
          <w:sz w:val="20"/>
          <w:szCs w:val="20"/>
          <w:lang w:val="es-ES" w:eastAsia="es-ES"/>
        </w:rPr>
        <w:t xml:space="preserve">Artículo 3.3 de la Sesión Ordinaria N. 37-2011 </w:t>
      </w:r>
      <w:r>
        <w:rPr>
          <w:rFonts w:ascii="Verdana" w:hAnsi="Verdana" w:cs="Verdana"/>
          <w:spacing w:val="5"/>
          <w:w w:val="110"/>
          <w:sz w:val="19"/>
          <w:szCs w:val="19"/>
          <w:lang w:val="es-ES" w:eastAsia="es-ES"/>
        </w:rPr>
        <w:t xml:space="preserve">de 26 de </w:t>
      </w:r>
      <w:r>
        <w:rPr>
          <w:rFonts w:ascii="Verdana" w:hAnsi="Verdana" w:cs="Verdana"/>
          <w:spacing w:val="-10"/>
          <w:w w:val="110"/>
          <w:sz w:val="19"/>
          <w:szCs w:val="19"/>
          <w:lang w:val="es-ES" w:eastAsia="es-ES"/>
        </w:rPr>
        <w:t xml:space="preserve">mayo de 2011, dictado por la JUNTA DIRECTIVA DEL CONSEJO DE TRANSPORTE </w:t>
      </w:r>
      <w:r>
        <w:rPr>
          <w:rFonts w:ascii="Verdana" w:hAnsi="Verdana" w:cs="Verdana"/>
          <w:spacing w:val="2"/>
          <w:w w:val="110"/>
          <w:sz w:val="19"/>
          <w:szCs w:val="19"/>
          <w:lang w:val="es-ES" w:eastAsia="es-ES"/>
        </w:rPr>
        <w:t xml:space="preserve">PÚBLICO. </w:t>
      </w:r>
      <w:r>
        <w:rPr>
          <w:rFonts w:ascii="Verdana" w:hAnsi="Verdana" w:cs="Verdana"/>
          <w:b/>
          <w:bCs/>
          <w:spacing w:val="2"/>
          <w:w w:val="105"/>
          <w:sz w:val="20"/>
          <w:szCs w:val="20"/>
          <w:lang w:val="es-ES" w:eastAsia="es-ES"/>
        </w:rPr>
        <w:t>El caso se tramita en Expediente Administrativo N. TAT</w:t>
      </w:r>
      <w:r>
        <w:rPr>
          <w:rFonts w:ascii="Verdana" w:hAnsi="Verdana" w:cs="Verdana"/>
          <w:b/>
          <w:bCs/>
          <w:spacing w:val="2"/>
          <w:w w:val="105"/>
          <w:sz w:val="20"/>
          <w:szCs w:val="20"/>
          <w:lang w:val="es-ES" w:eastAsia="es-ES"/>
        </w:rPr>
        <w:softHyphen/>
      </w:r>
      <w:r w:rsidR="00797964">
        <w:rPr>
          <w:rFonts w:ascii="Verdana" w:hAnsi="Verdana" w:cs="Verdana"/>
          <w:b/>
          <w:bCs/>
          <w:spacing w:val="2"/>
          <w:w w:val="105"/>
          <w:sz w:val="20"/>
          <w:szCs w:val="20"/>
          <w:lang w:val="es-ES" w:eastAsia="es-ES"/>
        </w:rPr>
        <w:t>-</w:t>
      </w:r>
      <w:r>
        <w:rPr>
          <w:rFonts w:ascii="Verdana" w:hAnsi="Verdana" w:cs="Verdana"/>
          <w:b/>
          <w:bCs/>
          <w:w w:val="105"/>
          <w:sz w:val="20"/>
          <w:szCs w:val="20"/>
          <w:lang w:val="es-ES" w:eastAsia="es-ES"/>
        </w:rPr>
        <w:t>054-12.</w:t>
      </w:r>
    </w:p>
    <w:p w:rsidR="00C9129E" w:rsidRDefault="00C9129E" w:rsidP="00105FEA">
      <w:pPr>
        <w:pStyle w:val="Style1"/>
        <w:kinsoku w:val="0"/>
        <w:autoSpaceDE/>
        <w:autoSpaceDN/>
        <w:adjustRightInd/>
        <w:spacing w:before="396" w:line="196" w:lineRule="auto"/>
        <w:ind w:left="3168" w:right="191"/>
        <w:jc w:val="both"/>
        <w:rPr>
          <w:rFonts w:ascii="Verdana" w:hAnsi="Verdana" w:cs="Verdana"/>
          <w:b/>
          <w:bCs/>
          <w:w w:val="105"/>
          <w:sz w:val="20"/>
          <w:szCs w:val="20"/>
          <w:lang w:val="es-ES" w:eastAsia="es-ES"/>
        </w:rPr>
      </w:pPr>
      <w:r>
        <w:rPr>
          <w:rFonts w:ascii="Verdana" w:hAnsi="Verdana" w:cs="Verdana"/>
          <w:b/>
          <w:bCs/>
          <w:w w:val="105"/>
          <w:sz w:val="20"/>
          <w:szCs w:val="20"/>
          <w:lang w:val="es-ES" w:eastAsia="es-ES"/>
        </w:rPr>
        <w:t>RESULTANDO:</w:t>
      </w:r>
    </w:p>
    <w:p w:rsidR="00C9129E" w:rsidRDefault="00C9129E" w:rsidP="00105FEA">
      <w:pPr>
        <w:pStyle w:val="Style1"/>
        <w:kinsoku w:val="0"/>
        <w:autoSpaceDE/>
        <w:autoSpaceDN/>
        <w:adjustRightInd/>
        <w:spacing w:before="540"/>
        <w:ind w:right="191"/>
        <w:jc w:val="both"/>
        <w:rPr>
          <w:rFonts w:ascii="Verdana" w:hAnsi="Verdana" w:cs="Verdana"/>
          <w:w w:val="110"/>
          <w:sz w:val="19"/>
          <w:szCs w:val="19"/>
          <w:lang w:val="es-ES" w:eastAsia="es-ES"/>
        </w:rPr>
      </w:pPr>
      <w:r>
        <w:rPr>
          <w:rFonts w:ascii="Verdana" w:hAnsi="Verdana" w:cs="Verdana"/>
          <w:b/>
          <w:bCs/>
          <w:spacing w:val="-14"/>
          <w:w w:val="105"/>
          <w:sz w:val="20"/>
          <w:szCs w:val="20"/>
          <w:lang w:val="es-ES" w:eastAsia="es-ES"/>
        </w:rPr>
        <w:t xml:space="preserve">PRIMERO: </w:t>
      </w:r>
      <w:r>
        <w:rPr>
          <w:rFonts w:ascii="Verdana" w:hAnsi="Verdana" w:cs="Verdana"/>
          <w:spacing w:val="-14"/>
          <w:w w:val="110"/>
          <w:sz w:val="19"/>
          <w:szCs w:val="19"/>
          <w:lang w:val="es-ES" w:eastAsia="es-ES"/>
        </w:rPr>
        <w:t xml:space="preserve">La JUNTA DIRECTIVA DEL CONSEJO DE TRANSPORTE PÚBLICO, mediante </w:t>
      </w:r>
      <w:r>
        <w:rPr>
          <w:rFonts w:ascii="Verdana" w:hAnsi="Verdana" w:cs="Verdana"/>
          <w:spacing w:val="3"/>
          <w:w w:val="110"/>
          <w:sz w:val="19"/>
          <w:szCs w:val="19"/>
          <w:lang w:val="es-ES" w:eastAsia="es-ES"/>
        </w:rPr>
        <w:t xml:space="preserve">el acuerdo impugnado, conoce el oficio </w:t>
      </w:r>
      <w:r>
        <w:rPr>
          <w:rFonts w:ascii="Verdana" w:hAnsi="Verdana" w:cs="Verdana"/>
          <w:b/>
          <w:bCs/>
          <w:spacing w:val="3"/>
          <w:w w:val="105"/>
          <w:sz w:val="20"/>
          <w:szCs w:val="20"/>
          <w:lang w:val="es-ES" w:eastAsia="es-ES"/>
        </w:rPr>
        <w:t xml:space="preserve">DE-2011-1345 </w:t>
      </w:r>
      <w:r>
        <w:rPr>
          <w:rFonts w:ascii="Verdana" w:hAnsi="Verdana" w:cs="Verdana"/>
          <w:spacing w:val="3"/>
          <w:w w:val="110"/>
          <w:sz w:val="19"/>
          <w:szCs w:val="19"/>
          <w:lang w:val="es-ES" w:eastAsia="es-ES"/>
        </w:rPr>
        <w:t xml:space="preserve">de la Comisión </w:t>
      </w:r>
      <w:r>
        <w:rPr>
          <w:rFonts w:ascii="Verdana" w:hAnsi="Verdana" w:cs="Verdana"/>
          <w:spacing w:val="-3"/>
          <w:w w:val="110"/>
          <w:sz w:val="19"/>
          <w:szCs w:val="19"/>
          <w:lang w:val="es-ES" w:eastAsia="es-ES"/>
        </w:rPr>
        <w:t xml:space="preserve">encargada del Análisis y Recomendación de las ofertas presentadas para la </w:t>
      </w:r>
      <w:r>
        <w:rPr>
          <w:rFonts w:ascii="Verdana" w:hAnsi="Verdana" w:cs="Verdana"/>
          <w:spacing w:val="1"/>
          <w:w w:val="110"/>
          <w:sz w:val="19"/>
          <w:szCs w:val="19"/>
          <w:lang w:val="es-ES" w:eastAsia="es-ES"/>
        </w:rPr>
        <w:t xml:space="preserve">licitación tendiente a autorizar 1034 concesiones de </w:t>
      </w:r>
      <w:proofErr w:type="gramStart"/>
      <w:r>
        <w:rPr>
          <w:rFonts w:ascii="Verdana" w:hAnsi="Verdana" w:cs="Verdana"/>
          <w:spacing w:val="1"/>
          <w:w w:val="110"/>
          <w:sz w:val="19"/>
          <w:szCs w:val="19"/>
          <w:lang w:val="es-ES" w:eastAsia="es-ES"/>
        </w:rPr>
        <w:t>taxi</w:t>
      </w:r>
      <w:proofErr w:type="gramEnd"/>
      <w:r>
        <w:rPr>
          <w:rFonts w:ascii="Verdana" w:hAnsi="Verdana" w:cs="Verdana"/>
          <w:spacing w:val="1"/>
          <w:w w:val="110"/>
          <w:sz w:val="19"/>
          <w:szCs w:val="19"/>
          <w:lang w:val="es-ES" w:eastAsia="es-ES"/>
        </w:rPr>
        <w:t xml:space="preserve"> adaptados para </w:t>
      </w:r>
      <w:r>
        <w:rPr>
          <w:rFonts w:ascii="Verdana" w:hAnsi="Verdana" w:cs="Verdana"/>
          <w:spacing w:val="2"/>
          <w:w w:val="110"/>
          <w:sz w:val="19"/>
          <w:szCs w:val="19"/>
          <w:lang w:val="es-ES" w:eastAsia="es-ES"/>
        </w:rPr>
        <w:t xml:space="preserve">personas con discapacidad, referente al listado de estas ofertas con sus </w:t>
      </w:r>
      <w:r>
        <w:rPr>
          <w:rFonts w:ascii="Verdana" w:hAnsi="Verdana" w:cs="Verdana"/>
          <w:spacing w:val="3"/>
          <w:w w:val="110"/>
          <w:sz w:val="19"/>
          <w:szCs w:val="19"/>
          <w:lang w:val="es-ES" w:eastAsia="es-ES"/>
        </w:rPr>
        <w:t xml:space="preserve">calificaciones y observaciones; y lo aprueba, según se puede detallar a </w:t>
      </w:r>
      <w:r>
        <w:rPr>
          <w:rFonts w:ascii="Verdana" w:hAnsi="Verdana" w:cs="Verdana"/>
          <w:w w:val="110"/>
          <w:sz w:val="19"/>
          <w:szCs w:val="19"/>
          <w:lang w:val="es-ES" w:eastAsia="es-ES"/>
        </w:rPr>
        <w:t>continuación:</w:t>
      </w:r>
    </w:p>
    <w:p w:rsidR="00C9129E" w:rsidRDefault="00C9129E" w:rsidP="00105FEA">
      <w:pPr>
        <w:pStyle w:val="Style2"/>
        <w:tabs>
          <w:tab w:val="left" w:pos="7655"/>
        </w:tabs>
        <w:kinsoku w:val="0"/>
        <w:autoSpaceDE/>
        <w:autoSpaceDN/>
        <w:spacing w:before="396"/>
        <w:ind w:right="474"/>
        <w:rPr>
          <w:rStyle w:val="CharacterStyle1"/>
          <w:rFonts w:ascii="Verdana" w:hAnsi="Verdana" w:cs="Verdana"/>
          <w:i/>
          <w:iCs/>
          <w:spacing w:val="-3"/>
          <w:w w:val="105"/>
          <w:lang w:val="es-ES" w:eastAsia="es-ES"/>
        </w:rPr>
      </w:pPr>
      <w:r>
        <w:rPr>
          <w:rStyle w:val="CharacterStyle1"/>
          <w:rFonts w:ascii="Verdana" w:hAnsi="Verdana" w:cs="Verdana"/>
          <w:b/>
          <w:bCs/>
          <w:i/>
          <w:iCs/>
          <w:spacing w:val="-4"/>
          <w:w w:val="105"/>
          <w:lang w:val="es-ES" w:eastAsia="es-ES"/>
        </w:rPr>
        <w:t>"ARTÍCULO 3.3.</w:t>
      </w:r>
      <w:r>
        <w:rPr>
          <w:rStyle w:val="CharacterStyle1"/>
          <w:rFonts w:ascii="Arial" w:hAnsi="Arial" w:cs="Arial"/>
          <w:b/>
          <w:bCs/>
          <w:i/>
          <w:iCs/>
          <w:spacing w:val="-4"/>
          <w:sz w:val="6"/>
          <w:szCs w:val="6"/>
          <w:lang w:val="es-ES" w:eastAsia="es-ES"/>
        </w:rPr>
        <w:t xml:space="preserve">- </w:t>
      </w:r>
      <w:r>
        <w:rPr>
          <w:rStyle w:val="CharacterStyle1"/>
          <w:rFonts w:ascii="Verdana" w:hAnsi="Verdana" w:cs="Verdana"/>
          <w:i/>
          <w:iCs/>
          <w:spacing w:val="-4"/>
          <w:w w:val="105"/>
          <w:lang w:val="es-ES" w:eastAsia="es-ES"/>
        </w:rPr>
        <w:t xml:space="preserve">Se conoce el oficio </w:t>
      </w:r>
      <w:r>
        <w:rPr>
          <w:rStyle w:val="CharacterStyle1"/>
          <w:rFonts w:ascii="Verdana" w:hAnsi="Verdana" w:cs="Verdana"/>
          <w:b/>
          <w:bCs/>
          <w:i/>
          <w:iCs/>
          <w:spacing w:val="-4"/>
          <w:w w:val="105"/>
          <w:lang w:val="es-ES" w:eastAsia="es-ES"/>
        </w:rPr>
        <w:t>DE</w:t>
      </w:r>
      <w:r>
        <w:rPr>
          <w:rStyle w:val="CharacterStyle1"/>
          <w:rFonts w:ascii="Arial" w:hAnsi="Arial" w:cs="Arial"/>
          <w:b/>
          <w:bCs/>
          <w:i/>
          <w:iCs/>
          <w:spacing w:val="-4"/>
          <w:sz w:val="6"/>
          <w:szCs w:val="6"/>
          <w:lang w:val="es-ES" w:eastAsia="es-ES"/>
        </w:rPr>
        <w:t>-</w:t>
      </w:r>
      <w:r>
        <w:rPr>
          <w:rStyle w:val="CharacterStyle1"/>
          <w:rFonts w:ascii="Verdana" w:hAnsi="Verdana" w:cs="Verdana"/>
          <w:b/>
          <w:bCs/>
          <w:i/>
          <w:iCs/>
          <w:spacing w:val="-4"/>
          <w:w w:val="105"/>
          <w:lang w:val="es-ES" w:eastAsia="es-ES"/>
        </w:rPr>
        <w:t>2011</w:t>
      </w:r>
      <w:r>
        <w:rPr>
          <w:rStyle w:val="CharacterStyle1"/>
          <w:rFonts w:ascii="Arial" w:hAnsi="Arial" w:cs="Arial"/>
          <w:b/>
          <w:bCs/>
          <w:i/>
          <w:iCs/>
          <w:spacing w:val="-4"/>
          <w:sz w:val="6"/>
          <w:szCs w:val="6"/>
          <w:lang w:val="es-ES" w:eastAsia="es-ES"/>
        </w:rPr>
        <w:t>-</w:t>
      </w:r>
      <w:r>
        <w:rPr>
          <w:rStyle w:val="CharacterStyle1"/>
          <w:rFonts w:ascii="Verdana" w:hAnsi="Verdana" w:cs="Verdana"/>
          <w:b/>
          <w:bCs/>
          <w:i/>
          <w:iCs/>
          <w:spacing w:val="-4"/>
          <w:w w:val="105"/>
          <w:lang w:val="es-ES" w:eastAsia="es-ES"/>
        </w:rPr>
        <w:t xml:space="preserve">1345 </w:t>
      </w:r>
      <w:r>
        <w:rPr>
          <w:rStyle w:val="CharacterStyle1"/>
          <w:rFonts w:ascii="Verdana" w:hAnsi="Verdana" w:cs="Verdana"/>
          <w:i/>
          <w:iCs/>
          <w:spacing w:val="-4"/>
          <w:w w:val="105"/>
          <w:lang w:val="es-ES" w:eastAsia="es-ES"/>
        </w:rPr>
        <w:t xml:space="preserve">de la Comisión encargada del Análisis y </w:t>
      </w:r>
      <w:r>
        <w:rPr>
          <w:rStyle w:val="CharacterStyle1"/>
          <w:rFonts w:ascii="Verdana" w:hAnsi="Verdana" w:cs="Verdana"/>
          <w:i/>
          <w:iCs/>
          <w:spacing w:val="1"/>
          <w:w w:val="105"/>
          <w:lang w:val="es-ES" w:eastAsia="es-ES"/>
        </w:rPr>
        <w:t xml:space="preserve">Recomendación de las ofertas presentadas para la licitación tendiente a autorizar 1034 </w:t>
      </w:r>
      <w:r>
        <w:rPr>
          <w:rStyle w:val="CharacterStyle1"/>
          <w:rFonts w:ascii="Verdana" w:hAnsi="Verdana" w:cs="Verdana"/>
          <w:i/>
          <w:iCs/>
          <w:spacing w:val="-1"/>
          <w:w w:val="105"/>
          <w:lang w:val="es-ES" w:eastAsia="es-ES"/>
        </w:rPr>
        <w:t xml:space="preserve">concesiones de taxi adaptados para personas con discapacidad, referente al listado de estas </w:t>
      </w:r>
      <w:r>
        <w:rPr>
          <w:rStyle w:val="CharacterStyle1"/>
          <w:rFonts w:ascii="Verdana" w:hAnsi="Verdana" w:cs="Verdana"/>
          <w:i/>
          <w:iCs/>
          <w:spacing w:val="-3"/>
          <w:w w:val="105"/>
          <w:lang w:val="es-ES" w:eastAsia="es-ES"/>
        </w:rPr>
        <w:t>ofertas con sus calificaciones y observaciones.</w:t>
      </w:r>
    </w:p>
    <w:p w:rsidR="00C9129E" w:rsidRDefault="00C9129E" w:rsidP="00105FEA">
      <w:pPr>
        <w:pStyle w:val="Style1"/>
        <w:tabs>
          <w:tab w:val="left" w:pos="7655"/>
        </w:tabs>
        <w:kinsoku w:val="0"/>
        <w:autoSpaceDE/>
        <w:autoSpaceDN/>
        <w:adjustRightInd/>
        <w:spacing w:before="180" w:line="199" w:lineRule="auto"/>
        <w:ind w:left="288" w:right="474"/>
        <w:rPr>
          <w:rFonts w:ascii="Verdana" w:hAnsi="Verdana" w:cs="Verdana"/>
          <w:b/>
          <w:bCs/>
          <w:i/>
          <w:iCs/>
          <w:w w:val="105"/>
          <w:sz w:val="15"/>
          <w:szCs w:val="15"/>
          <w:lang w:val="es-ES" w:eastAsia="es-ES"/>
        </w:rPr>
      </w:pPr>
      <w:r>
        <w:rPr>
          <w:rFonts w:ascii="Verdana" w:hAnsi="Verdana" w:cs="Verdana"/>
          <w:b/>
          <w:bCs/>
          <w:i/>
          <w:iCs/>
          <w:w w:val="105"/>
          <w:sz w:val="15"/>
          <w:szCs w:val="15"/>
          <w:lang w:val="es-ES" w:eastAsia="es-ES"/>
        </w:rPr>
        <w:t>CONSIDERANDO</w:t>
      </w:r>
    </w:p>
    <w:p w:rsidR="00C9129E" w:rsidRDefault="00C9129E" w:rsidP="00105FEA">
      <w:pPr>
        <w:pStyle w:val="Style2"/>
        <w:tabs>
          <w:tab w:val="left" w:pos="7655"/>
        </w:tabs>
        <w:kinsoku w:val="0"/>
        <w:autoSpaceDE/>
        <w:autoSpaceDN/>
        <w:spacing w:before="180"/>
        <w:ind w:right="474"/>
        <w:rPr>
          <w:rStyle w:val="CharacterStyle1"/>
          <w:rFonts w:ascii="Verdana" w:hAnsi="Verdana" w:cs="Verdana"/>
          <w:i/>
          <w:iCs/>
          <w:spacing w:val="-4"/>
          <w:w w:val="105"/>
          <w:lang w:val="es-ES" w:eastAsia="es-ES"/>
        </w:rPr>
      </w:pPr>
      <w:r>
        <w:rPr>
          <w:rStyle w:val="CharacterStyle1"/>
          <w:rFonts w:ascii="Verdana" w:hAnsi="Verdana" w:cs="Verdana"/>
          <w:b/>
          <w:bCs/>
          <w:i/>
          <w:iCs/>
          <w:spacing w:val="-4"/>
          <w:w w:val="105"/>
          <w:lang w:val="es-ES" w:eastAsia="es-ES"/>
        </w:rPr>
        <w:t xml:space="preserve">PRIMERO: </w:t>
      </w:r>
      <w:r>
        <w:rPr>
          <w:rStyle w:val="CharacterStyle1"/>
          <w:rFonts w:ascii="Verdana" w:hAnsi="Verdana" w:cs="Verdana"/>
          <w:i/>
          <w:iCs/>
          <w:spacing w:val="-4"/>
          <w:w w:val="105"/>
          <w:lang w:val="es-ES" w:eastAsia="es-ES"/>
        </w:rPr>
        <w:t xml:space="preserve">Que la Comisión encargada del Análisis y Recomendación de las ofertas presentadas </w:t>
      </w:r>
      <w:r>
        <w:rPr>
          <w:rStyle w:val="CharacterStyle1"/>
          <w:rFonts w:ascii="Verdana" w:hAnsi="Verdana" w:cs="Verdana"/>
          <w:i/>
          <w:iCs/>
          <w:spacing w:val="-5"/>
          <w:w w:val="105"/>
          <w:lang w:val="es-ES" w:eastAsia="es-ES"/>
        </w:rPr>
        <w:t xml:space="preserve">para la licitación tendiente a autorizar 1034 concesiones de taxi adaptadas para personas con </w:t>
      </w:r>
      <w:r>
        <w:rPr>
          <w:rStyle w:val="CharacterStyle1"/>
          <w:rFonts w:ascii="Verdana" w:hAnsi="Verdana" w:cs="Verdana"/>
          <w:i/>
          <w:iCs/>
          <w:spacing w:val="-3"/>
          <w:w w:val="105"/>
          <w:lang w:val="es-ES" w:eastAsia="es-ES"/>
        </w:rPr>
        <w:t xml:space="preserve">discapacidad, está integrada por los funcionarios Srta. </w:t>
      </w:r>
      <w:proofErr w:type="spellStart"/>
      <w:r>
        <w:rPr>
          <w:rStyle w:val="CharacterStyle1"/>
          <w:rFonts w:ascii="Verdana" w:hAnsi="Verdana" w:cs="Verdana"/>
          <w:i/>
          <w:iCs/>
          <w:spacing w:val="-3"/>
          <w:w w:val="105"/>
          <w:lang w:val="es-ES" w:eastAsia="es-ES"/>
        </w:rPr>
        <w:t>Cindy</w:t>
      </w:r>
      <w:proofErr w:type="spellEnd"/>
      <w:r>
        <w:rPr>
          <w:rStyle w:val="CharacterStyle1"/>
          <w:rFonts w:ascii="Verdana" w:hAnsi="Verdana" w:cs="Verdana"/>
          <w:i/>
          <w:iCs/>
          <w:spacing w:val="-3"/>
          <w:w w:val="105"/>
          <w:lang w:val="es-ES" w:eastAsia="es-ES"/>
        </w:rPr>
        <w:t xml:space="preserve"> Chinchilla Aguilar, Lic. Carlos Ávila </w:t>
      </w:r>
      <w:proofErr w:type="spellStart"/>
      <w:r>
        <w:rPr>
          <w:rStyle w:val="CharacterStyle1"/>
          <w:rFonts w:ascii="Verdana" w:hAnsi="Verdana" w:cs="Verdana"/>
          <w:i/>
          <w:iCs/>
          <w:spacing w:val="-4"/>
          <w:w w:val="105"/>
          <w:lang w:val="es-ES" w:eastAsia="es-ES"/>
        </w:rPr>
        <w:t>Arquín</w:t>
      </w:r>
      <w:proofErr w:type="spellEnd"/>
      <w:r>
        <w:rPr>
          <w:rStyle w:val="CharacterStyle1"/>
          <w:rFonts w:ascii="Verdana" w:hAnsi="Verdana" w:cs="Verdana"/>
          <w:i/>
          <w:iCs/>
          <w:spacing w:val="-4"/>
          <w:w w:val="105"/>
          <w:lang w:val="es-ES" w:eastAsia="es-ES"/>
        </w:rPr>
        <w:t xml:space="preserve"> y Licda. María Elena Rojas Abarca, Comisión que mediante el presente oficio informa lo siguiente:</w:t>
      </w:r>
    </w:p>
    <w:p w:rsidR="00C9129E" w:rsidRDefault="00C9129E" w:rsidP="00105FEA">
      <w:pPr>
        <w:pStyle w:val="Style2"/>
        <w:tabs>
          <w:tab w:val="left" w:pos="7655"/>
        </w:tabs>
        <w:kinsoku w:val="0"/>
        <w:autoSpaceDE/>
        <w:autoSpaceDN/>
        <w:ind w:right="474"/>
        <w:rPr>
          <w:rStyle w:val="CharacterStyle1"/>
          <w:rFonts w:ascii="Verdana" w:hAnsi="Verdana" w:cs="Verdana"/>
          <w:b/>
          <w:bCs/>
          <w:i/>
          <w:iCs/>
          <w:spacing w:val="-2"/>
          <w:w w:val="110"/>
          <w:sz w:val="14"/>
          <w:szCs w:val="14"/>
          <w:u w:val="single"/>
          <w:lang w:val="es-ES" w:eastAsia="es-ES"/>
        </w:rPr>
      </w:pPr>
      <w:r>
        <w:rPr>
          <w:rStyle w:val="CharacterStyle1"/>
          <w:rFonts w:ascii="Verdana" w:hAnsi="Verdana" w:cs="Verdana"/>
          <w:i/>
          <w:iCs/>
          <w:w w:val="105"/>
          <w:lang w:val="es-ES" w:eastAsia="es-ES"/>
        </w:rPr>
        <w:t xml:space="preserve">De conformidad con el Decreto Ejecutivo 35448-MOPT del 25 de agosto 2009, en el mes de </w:t>
      </w:r>
      <w:r>
        <w:rPr>
          <w:rStyle w:val="CharacterStyle1"/>
          <w:rFonts w:ascii="Verdana" w:hAnsi="Verdana" w:cs="Verdana"/>
          <w:i/>
          <w:iCs/>
          <w:spacing w:val="-1"/>
          <w:w w:val="105"/>
          <w:lang w:val="es-ES" w:eastAsia="es-ES"/>
        </w:rPr>
        <w:t xml:space="preserve">junio del 2010 se recibieron un </w:t>
      </w:r>
      <w:r>
        <w:rPr>
          <w:rStyle w:val="CharacterStyle1"/>
          <w:rFonts w:ascii="Verdana" w:hAnsi="Verdana" w:cs="Verdana"/>
          <w:b/>
          <w:bCs/>
          <w:i/>
          <w:iCs/>
          <w:spacing w:val="-1"/>
          <w:w w:val="110"/>
          <w:sz w:val="14"/>
          <w:szCs w:val="14"/>
          <w:u w:val="single"/>
          <w:lang w:val="es-ES" w:eastAsia="es-ES"/>
        </w:rPr>
        <w:t>total de 1124 ofertas</w:t>
      </w:r>
      <w:r>
        <w:rPr>
          <w:rStyle w:val="CharacterStyle1"/>
          <w:rFonts w:ascii="Verdana" w:hAnsi="Verdana" w:cs="Verdana"/>
          <w:i/>
          <w:iCs/>
          <w:spacing w:val="-1"/>
          <w:w w:val="105"/>
          <w:lang w:val="es-ES" w:eastAsia="es-ES"/>
        </w:rPr>
        <w:t xml:space="preserve"> para participar en dicho proceso de </w:t>
      </w:r>
      <w:r>
        <w:rPr>
          <w:rStyle w:val="CharacterStyle1"/>
          <w:rFonts w:ascii="Verdana" w:hAnsi="Verdana" w:cs="Verdana"/>
          <w:i/>
          <w:iCs/>
          <w:spacing w:val="-5"/>
          <w:w w:val="105"/>
          <w:lang w:val="es-ES" w:eastAsia="es-ES"/>
        </w:rPr>
        <w:t xml:space="preserve">licitación pública de las cuales </w:t>
      </w:r>
      <w:r>
        <w:rPr>
          <w:rStyle w:val="CharacterStyle1"/>
          <w:rFonts w:ascii="Verdana" w:hAnsi="Verdana" w:cs="Verdana"/>
          <w:b/>
          <w:bCs/>
          <w:i/>
          <w:iCs/>
          <w:spacing w:val="-5"/>
          <w:w w:val="110"/>
          <w:sz w:val="14"/>
          <w:szCs w:val="14"/>
          <w:u w:val="single"/>
          <w:lang w:val="es-ES" w:eastAsia="es-ES"/>
        </w:rPr>
        <w:t xml:space="preserve">4 consecutivos fueron nulos </w:t>
      </w:r>
      <w:r>
        <w:rPr>
          <w:rStyle w:val="CharacterStyle1"/>
          <w:rFonts w:ascii="Verdana" w:hAnsi="Verdana" w:cs="Verdana"/>
          <w:i/>
          <w:iCs/>
          <w:spacing w:val="-5"/>
          <w:w w:val="105"/>
          <w:lang w:val="es-ES" w:eastAsia="es-ES"/>
        </w:rPr>
        <w:t xml:space="preserve">para un </w:t>
      </w:r>
      <w:r>
        <w:rPr>
          <w:rStyle w:val="CharacterStyle1"/>
          <w:rFonts w:ascii="Verdana" w:hAnsi="Verdana" w:cs="Verdana"/>
          <w:b/>
          <w:bCs/>
          <w:i/>
          <w:iCs/>
          <w:spacing w:val="-5"/>
          <w:w w:val="110"/>
          <w:sz w:val="14"/>
          <w:szCs w:val="14"/>
          <w:u w:val="single"/>
          <w:lang w:val="es-ES" w:eastAsia="es-ES"/>
        </w:rPr>
        <w:t xml:space="preserve">total efectivo de 1128 </w:t>
      </w:r>
      <w:r>
        <w:rPr>
          <w:rStyle w:val="CharacterStyle1"/>
          <w:rFonts w:ascii="Verdana" w:hAnsi="Verdana" w:cs="Verdana"/>
          <w:b/>
          <w:bCs/>
          <w:i/>
          <w:iCs/>
          <w:spacing w:val="-2"/>
          <w:w w:val="110"/>
          <w:sz w:val="14"/>
          <w:szCs w:val="14"/>
          <w:u w:val="single"/>
          <w:lang w:val="es-ES" w:eastAsia="es-ES"/>
        </w:rPr>
        <w:t>consecutivos.</w:t>
      </w:r>
    </w:p>
    <w:p w:rsidR="00C9129E" w:rsidRDefault="00C9129E" w:rsidP="00105FEA">
      <w:pPr>
        <w:pStyle w:val="Style2"/>
        <w:tabs>
          <w:tab w:val="left" w:pos="7655"/>
        </w:tabs>
        <w:kinsoku w:val="0"/>
        <w:autoSpaceDE/>
        <w:autoSpaceDN/>
        <w:ind w:right="474"/>
        <w:rPr>
          <w:rStyle w:val="CharacterStyle1"/>
          <w:rFonts w:ascii="Verdana" w:hAnsi="Verdana" w:cs="Verdana"/>
          <w:i/>
          <w:iCs/>
          <w:spacing w:val="-1"/>
          <w:w w:val="105"/>
          <w:lang w:val="es-ES" w:eastAsia="es-ES"/>
        </w:rPr>
      </w:pPr>
      <w:r>
        <w:rPr>
          <w:rStyle w:val="CharacterStyle1"/>
          <w:rFonts w:ascii="Verdana" w:hAnsi="Verdana" w:cs="Verdana"/>
          <w:i/>
          <w:iCs/>
          <w:w w:val="105"/>
          <w:lang w:val="es-ES" w:eastAsia="es-ES"/>
        </w:rPr>
        <w:t xml:space="preserve">La valoración de dichas ofertas tuvo un atraso involuntario en razón de que este Consejo no </w:t>
      </w:r>
      <w:r>
        <w:rPr>
          <w:rStyle w:val="CharacterStyle1"/>
          <w:rFonts w:ascii="Verdana" w:hAnsi="Verdana" w:cs="Verdana"/>
          <w:i/>
          <w:iCs/>
          <w:spacing w:val="-5"/>
          <w:w w:val="105"/>
          <w:lang w:val="es-ES" w:eastAsia="es-ES"/>
        </w:rPr>
        <w:t xml:space="preserve">pudo tener acceso a la información correspondiente a los aportes a la Seguridad Social que hace </w:t>
      </w:r>
      <w:r>
        <w:rPr>
          <w:rStyle w:val="CharacterStyle1"/>
          <w:rFonts w:ascii="Verdana" w:hAnsi="Verdana" w:cs="Verdana"/>
          <w:i/>
          <w:iCs/>
          <w:spacing w:val="1"/>
          <w:w w:val="105"/>
          <w:lang w:val="es-ES" w:eastAsia="es-ES"/>
        </w:rPr>
        <w:t xml:space="preserve">mención el Artículo 33 de la Ley 7969, por cuanto según manifestaron inicialmente los </w:t>
      </w:r>
      <w:r>
        <w:rPr>
          <w:rStyle w:val="CharacterStyle1"/>
          <w:rFonts w:ascii="Verdana" w:hAnsi="Verdana" w:cs="Verdana"/>
          <w:i/>
          <w:iCs/>
          <w:w w:val="105"/>
          <w:lang w:val="es-ES" w:eastAsia="es-ES"/>
        </w:rPr>
        <w:t xml:space="preserve">personeros de la CCSS el trámite debía ser personal, razón por la cual hubo necesidad de </w:t>
      </w:r>
      <w:r>
        <w:rPr>
          <w:rStyle w:val="CharacterStyle1"/>
          <w:rFonts w:ascii="Verdana" w:hAnsi="Verdana" w:cs="Verdana"/>
          <w:i/>
          <w:iCs/>
          <w:spacing w:val="-1"/>
          <w:w w:val="105"/>
          <w:lang w:val="es-ES" w:eastAsia="es-ES"/>
        </w:rPr>
        <w:t>prevenir a los interesados a fin de que aportaran dicho requisito.</w:t>
      </w:r>
    </w:p>
    <w:p w:rsidR="00C9129E" w:rsidRDefault="00C9129E" w:rsidP="00105FEA">
      <w:pPr>
        <w:pStyle w:val="Style1"/>
        <w:tabs>
          <w:tab w:val="left" w:pos="7655"/>
        </w:tabs>
        <w:kinsoku w:val="0"/>
        <w:autoSpaceDE/>
        <w:autoSpaceDN/>
        <w:adjustRightInd/>
        <w:spacing w:before="144" w:after="504"/>
        <w:ind w:left="288" w:right="474"/>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Realizadas las prevenciones a los oferentes, se contó con la colaboración de los licenciados </w:t>
      </w:r>
      <w:proofErr w:type="spellStart"/>
      <w:r>
        <w:rPr>
          <w:rFonts w:ascii="Verdana" w:hAnsi="Verdana" w:cs="Verdana"/>
          <w:i/>
          <w:iCs/>
          <w:spacing w:val="-4"/>
          <w:w w:val="105"/>
          <w:sz w:val="15"/>
          <w:szCs w:val="15"/>
          <w:lang w:val="es-ES" w:eastAsia="es-ES"/>
        </w:rPr>
        <w:t>Marjorie</w:t>
      </w:r>
      <w:proofErr w:type="spellEnd"/>
      <w:r>
        <w:rPr>
          <w:rFonts w:ascii="Verdana" w:hAnsi="Verdana" w:cs="Verdana"/>
          <w:i/>
          <w:iCs/>
          <w:spacing w:val="-4"/>
          <w:w w:val="105"/>
          <w:sz w:val="15"/>
          <w:szCs w:val="15"/>
          <w:lang w:val="es-ES" w:eastAsia="es-ES"/>
        </w:rPr>
        <w:t xml:space="preserve"> Mejías y Leonardo Díaz de la Dirección de Asuntos Jurídicos se procedió a efectuar la </w:t>
      </w:r>
      <w:r>
        <w:rPr>
          <w:rFonts w:ascii="Verdana" w:hAnsi="Verdana" w:cs="Verdana"/>
          <w:i/>
          <w:iCs/>
          <w:spacing w:val="-3"/>
          <w:w w:val="105"/>
          <w:sz w:val="15"/>
          <w:szCs w:val="15"/>
          <w:lang w:val="es-ES" w:eastAsia="es-ES"/>
        </w:rPr>
        <w:t xml:space="preserve">valoración de las ofertas de conformidad con el procedimiento establecido por la Comisión para </w:t>
      </w:r>
      <w:r>
        <w:rPr>
          <w:rFonts w:ascii="Verdana" w:hAnsi="Verdana" w:cs="Verdana"/>
          <w:i/>
          <w:iCs/>
          <w:spacing w:val="-2"/>
          <w:w w:val="105"/>
          <w:sz w:val="15"/>
          <w:szCs w:val="15"/>
          <w:lang w:val="es-ES" w:eastAsia="es-ES"/>
        </w:rPr>
        <w:t xml:space="preserve">tales efectos, tomando como insumo el trabajo realizado por el Lic. Danilo </w:t>
      </w:r>
      <w:proofErr w:type="spellStart"/>
      <w:r>
        <w:rPr>
          <w:rFonts w:ascii="Verdana" w:hAnsi="Verdana" w:cs="Verdana"/>
          <w:i/>
          <w:iCs/>
          <w:spacing w:val="-2"/>
          <w:w w:val="105"/>
          <w:sz w:val="15"/>
          <w:szCs w:val="15"/>
          <w:lang w:val="es-ES" w:eastAsia="es-ES"/>
        </w:rPr>
        <w:t>Bargboza</w:t>
      </w:r>
      <w:proofErr w:type="spellEnd"/>
      <w:r>
        <w:rPr>
          <w:rFonts w:ascii="Verdana" w:hAnsi="Verdana" w:cs="Verdana"/>
          <w:i/>
          <w:iCs/>
          <w:spacing w:val="-2"/>
          <w:w w:val="105"/>
          <w:sz w:val="15"/>
          <w:szCs w:val="15"/>
          <w:lang w:val="es-ES" w:eastAsia="es-ES"/>
        </w:rPr>
        <w:t xml:space="preserve"> Jiménez.</w:t>
      </w:r>
    </w:p>
    <w:p w:rsidR="00EB0C3D" w:rsidRDefault="00EB0C3D">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B17A12" w:rsidRDefault="00B17A12">
      <w:pPr>
        <w:pStyle w:val="Style6"/>
        <w:kinsoku w:val="0"/>
        <w:autoSpaceDE/>
        <w:autoSpaceDN/>
        <w:adjustRightInd/>
        <w:ind w:left="720" w:right="720"/>
        <w:rPr>
          <w:rStyle w:val="CharacterStyle3"/>
          <w:rFonts w:ascii="Verdana" w:hAnsi="Verdana" w:cs="Verdana"/>
          <w:i/>
          <w:iCs/>
          <w:spacing w:val="2"/>
          <w:w w:val="105"/>
          <w:sz w:val="15"/>
          <w:szCs w:val="15"/>
          <w:lang w:val="es-ES" w:eastAsia="es-ES"/>
        </w:rPr>
      </w:pPr>
    </w:p>
    <w:p w:rsidR="00C9129E" w:rsidRDefault="00C9129E" w:rsidP="00EB0C3D">
      <w:pPr>
        <w:pStyle w:val="Style6"/>
        <w:kinsoku w:val="0"/>
        <w:autoSpaceDE/>
        <w:autoSpaceDN/>
        <w:adjustRightInd/>
        <w:ind w:left="720" w:right="474"/>
        <w:jc w:val="both"/>
        <w:rPr>
          <w:rStyle w:val="CharacterStyle3"/>
          <w:rFonts w:ascii="Verdana" w:hAnsi="Verdana" w:cs="Verdana"/>
          <w:i/>
          <w:iCs/>
          <w:spacing w:val="-3"/>
          <w:w w:val="105"/>
          <w:sz w:val="15"/>
          <w:szCs w:val="15"/>
          <w:lang w:val="es-ES" w:eastAsia="es-ES"/>
        </w:rPr>
      </w:pPr>
      <w:r>
        <w:rPr>
          <w:rStyle w:val="CharacterStyle3"/>
          <w:rFonts w:ascii="Verdana" w:hAnsi="Verdana" w:cs="Verdana"/>
          <w:i/>
          <w:iCs/>
          <w:spacing w:val="2"/>
          <w:w w:val="105"/>
          <w:sz w:val="15"/>
          <w:szCs w:val="15"/>
          <w:lang w:val="es-ES" w:eastAsia="es-ES"/>
        </w:rPr>
        <w:lastRenderedPageBreak/>
        <w:t xml:space="preserve">Para mejor comprensión del listado, resulta necesario que se consideren las siguientes </w:t>
      </w:r>
      <w:r>
        <w:rPr>
          <w:rStyle w:val="CharacterStyle3"/>
          <w:rFonts w:ascii="Verdana" w:hAnsi="Verdana" w:cs="Verdana"/>
          <w:i/>
          <w:iCs/>
          <w:spacing w:val="-3"/>
          <w:w w:val="105"/>
          <w:sz w:val="15"/>
          <w:szCs w:val="15"/>
          <w:lang w:val="es-ES" w:eastAsia="es-ES"/>
        </w:rPr>
        <w:t>observaciones que se indican en algunas ofertas.</w:t>
      </w:r>
    </w:p>
    <w:p w:rsidR="00C9129E" w:rsidRDefault="00C9129E" w:rsidP="00EB0C3D">
      <w:pPr>
        <w:pStyle w:val="Style17"/>
        <w:numPr>
          <w:ilvl w:val="0"/>
          <w:numId w:val="1"/>
        </w:numPr>
        <w:tabs>
          <w:tab w:val="clear" w:pos="288"/>
          <w:tab w:val="num" w:pos="1080"/>
        </w:tabs>
        <w:kinsoku w:val="0"/>
        <w:autoSpaceDE/>
        <w:autoSpaceDN/>
        <w:spacing w:before="0"/>
        <w:ind w:right="474"/>
        <w:rPr>
          <w:rStyle w:val="CharacterStyle4"/>
          <w:rFonts w:ascii="Verdana" w:hAnsi="Verdana" w:cs="Verdana"/>
          <w:i/>
          <w:spacing w:val="-4"/>
          <w:w w:val="105"/>
          <w:lang w:val="es-ES" w:eastAsia="es-ES"/>
        </w:rPr>
      </w:pPr>
      <w:r>
        <w:rPr>
          <w:rStyle w:val="CharacterStyle4"/>
          <w:rFonts w:ascii="Verdana" w:hAnsi="Verdana" w:cs="Verdana"/>
          <w:b/>
          <w:bCs/>
          <w:i/>
          <w:spacing w:val="-2"/>
          <w:w w:val="105"/>
          <w:lang w:val="es-ES" w:eastAsia="es-ES"/>
        </w:rPr>
        <w:t xml:space="preserve">Excluido 1: </w:t>
      </w:r>
      <w:r>
        <w:rPr>
          <w:rStyle w:val="CharacterStyle4"/>
          <w:rFonts w:ascii="Verdana" w:hAnsi="Verdana" w:cs="Verdana"/>
          <w:i/>
          <w:spacing w:val="-2"/>
          <w:w w:val="105"/>
          <w:lang w:val="es-ES" w:eastAsia="es-ES"/>
        </w:rPr>
        <w:t xml:space="preserve">Solicitó retiro de la Garantía de participación, razón por la cual de conformidad </w:t>
      </w:r>
      <w:r>
        <w:rPr>
          <w:rStyle w:val="CharacterStyle4"/>
          <w:rFonts w:ascii="Verdana" w:hAnsi="Verdana" w:cs="Verdana"/>
          <w:i/>
          <w:spacing w:val="-1"/>
          <w:w w:val="105"/>
          <w:lang w:val="es-ES" w:eastAsia="es-ES"/>
        </w:rPr>
        <w:t xml:space="preserve">con la Ley de Contratación Administrativa y su Reglamento estas ofertas deben considerarse como no presentadas, además debe la administración entender que el oferente perdió interés </w:t>
      </w:r>
      <w:r>
        <w:rPr>
          <w:rStyle w:val="CharacterStyle4"/>
          <w:rFonts w:ascii="Verdana" w:hAnsi="Verdana" w:cs="Verdana"/>
          <w:i/>
          <w:spacing w:val="-4"/>
          <w:w w:val="105"/>
          <w:lang w:val="es-ES" w:eastAsia="es-ES"/>
        </w:rPr>
        <w:t>por el concurso.</w:t>
      </w:r>
    </w:p>
    <w:p w:rsidR="00C9129E" w:rsidRDefault="00C9129E" w:rsidP="00EB0C3D">
      <w:pPr>
        <w:pStyle w:val="Style17"/>
        <w:numPr>
          <w:ilvl w:val="0"/>
          <w:numId w:val="1"/>
        </w:numPr>
        <w:tabs>
          <w:tab w:val="clear" w:pos="288"/>
          <w:tab w:val="num" w:pos="1080"/>
        </w:tabs>
        <w:kinsoku w:val="0"/>
        <w:autoSpaceDE/>
        <w:autoSpaceDN/>
        <w:ind w:right="474"/>
        <w:rPr>
          <w:rStyle w:val="CharacterStyle4"/>
          <w:rFonts w:ascii="Verdana" w:hAnsi="Verdana" w:cs="Verdana"/>
          <w:i/>
          <w:spacing w:val="-3"/>
          <w:w w:val="105"/>
          <w:lang w:val="es-ES" w:eastAsia="es-ES"/>
        </w:rPr>
      </w:pPr>
      <w:r>
        <w:rPr>
          <w:rStyle w:val="CharacterStyle4"/>
          <w:rFonts w:ascii="Verdana" w:hAnsi="Verdana" w:cs="Verdana"/>
          <w:b/>
          <w:bCs/>
          <w:i/>
          <w:spacing w:val="-1"/>
          <w:w w:val="105"/>
          <w:lang w:val="es-ES" w:eastAsia="es-ES"/>
        </w:rPr>
        <w:t xml:space="preserve">Excluido 2: </w:t>
      </w:r>
      <w:r>
        <w:rPr>
          <w:rStyle w:val="CharacterStyle4"/>
          <w:rFonts w:ascii="Verdana" w:hAnsi="Verdana" w:cs="Verdana"/>
          <w:i/>
          <w:spacing w:val="-1"/>
          <w:w w:val="105"/>
          <w:lang w:val="es-ES" w:eastAsia="es-ES"/>
        </w:rPr>
        <w:t xml:space="preserve">se refiere a los oferentes que no atendieron la prevención que se les realizó </w:t>
      </w:r>
      <w:r>
        <w:rPr>
          <w:rStyle w:val="CharacterStyle4"/>
          <w:rFonts w:ascii="Verdana" w:hAnsi="Verdana" w:cs="Verdana"/>
          <w:i/>
          <w:spacing w:val="2"/>
          <w:w w:val="105"/>
          <w:lang w:val="es-ES" w:eastAsia="es-ES"/>
        </w:rPr>
        <w:t xml:space="preserve">para que renovaran la garantía de participación, además de que debe la administración </w:t>
      </w:r>
      <w:r>
        <w:rPr>
          <w:rStyle w:val="CharacterStyle4"/>
          <w:rFonts w:ascii="Verdana" w:hAnsi="Verdana" w:cs="Verdana"/>
          <w:i/>
          <w:spacing w:val="-3"/>
          <w:w w:val="105"/>
          <w:lang w:val="es-ES" w:eastAsia="es-ES"/>
        </w:rPr>
        <w:t>entender también en este caso que el oferente perdió su interés por el concurso.</w:t>
      </w:r>
    </w:p>
    <w:p w:rsidR="00C9129E" w:rsidRDefault="00C9129E" w:rsidP="00EB0C3D">
      <w:pPr>
        <w:pStyle w:val="Style17"/>
        <w:numPr>
          <w:ilvl w:val="0"/>
          <w:numId w:val="1"/>
        </w:numPr>
        <w:tabs>
          <w:tab w:val="clear" w:pos="288"/>
          <w:tab w:val="num" w:pos="1080"/>
        </w:tabs>
        <w:kinsoku w:val="0"/>
        <w:autoSpaceDE/>
        <w:autoSpaceDN/>
        <w:ind w:right="474"/>
        <w:rPr>
          <w:rStyle w:val="CharacterStyle4"/>
          <w:rFonts w:ascii="Verdana" w:hAnsi="Verdana" w:cs="Verdana"/>
          <w:i/>
          <w:spacing w:val="-2"/>
          <w:w w:val="105"/>
          <w:lang w:val="es-ES" w:eastAsia="es-ES"/>
        </w:rPr>
      </w:pPr>
      <w:r>
        <w:rPr>
          <w:rStyle w:val="CharacterStyle4"/>
          <w:rFonts w:ascii="Verdana" w:hAnsi="Verdana" w:cs="Verdana"/>
          <w:b/>
          <w:bCs/>
          <w:i/>
          <w:spacing w:val="-3"/>
          <w:w w:val="105"/>
          <w:lang w:val="es-ES" w:eastAsia="es-ES"/>
        </w:rPr>
        <w:t xml:space="preserve">Excluido 3 + un número de placa: </w:t>
      </w:r>
      <w:r>
        <w:rPr>
          <w:rStyle w:val="CharacterStyle4"/>
          <w:rFonts w:ascii="Verdana" w:hAnsi="Verdana" w:cs="Verdana"/>
          <w:i/>
          <w:spacing w:val="-3"/>
          <w:w w:val="105"/>
          <w:lang w:val="es-ES" w:eastAsia="es-ES"/>
        </w:rPr>
        <w:t xml:space="preserve">Se refiere a que el CTP ha asignado una concesión de </w:t>
      </w:r>
      <w:r>
        <w:rPr>
          <w:rStyle w:val="CharacterStyle4"/>
          <w:rFonts w:ascii="Verdana" w:hAnsi="Verdana" w:cs="Verdana"/>
          <w:i/>
          <w:spacing w:val="-1"/>
          <w:w w:val="105"/>
          <w:lang w:val="es-ES" w:eastAsia="es-ES"/>
        </w:rPr>
        <w:t xml:space="preserve">taxi en el núcleo familiar del oferente, razón por la cual conforme al artículo 29 inciso c) y d) de </w:t>
      </w:r>
      <w:r>
        <w:rPr>
          <w:rStyle w:val="CharacterStyle4"/>
          <w:rFonts w:ascii="Verdana" w:hAnsi="Verdana" w:cs="Verdana"/>
          <w:i/>
          <w:spacing w:val="-2"/>
          <w:w w:val="105"/>
          <w:lang w:val="es-ES" w:eastAsia="es-ES"/>
        </w:rPr>
        <w:t>la Ley 7969, debe tenerse por excluida del proceso la oferta.</w:t>
      </w:r>
    </w:p>
    <w:p w:rsidR="00C9129E" w:rsidRDefault="00C9129E" w:rsidP="00EB0C3D">
      <w:pPr>
        <w:pStyle w:val="Style6"/>
        <w:numPr>
          <w:ilvl w:val="0"/>
          <w:numId w:val="1"/>
        </w:numPr>
        <w:tabs>
          <w:tab w:val="clear" w:pos="288"/>
          <w:tab w:val="num" w:pos="1080"/>
        </w:tabs>
        <w:kinsoku w:val="0"/>
        <w:autoSpaceDE/>
        <w:autoSpaceDN/>
        <w:adjustRightInd/>
        <w:spacing w:before="216"/>
        <w:ind w:right="474"/>
        <w:jc w:val="both"/>
        <w:rPr>
          <w:rStyle w:val="CharacterStyle3"/>
          <w:rFonts w:ascii="Verdana" w:hAnsi="Verdana" w:cs="Verdana"/>
          <w:i/>
          <w:iCs/>
          <w:spacing w:val="-2"/>
          <w:w w:val="105"/>
          <w:sz w:val="15"/>
          <w:szCs w:val="15"/>
          <w:lang w:val="es-ES" w:eastAsia="es-ES"/>
        </w:rPr>
      </w:pPr>
      <w:r>
        <w:rPr>
          <w:rStyle w:val="CharacterStyle3"/>
          <w:rFonts w:ascii="Verdana" w:hAnsi="Verdana" w:cs="Verdana"/>
          <w:b/>
          <w:bCs/>
          <w:i/>
          <w:iCs/>
          <w:spacing w:val="-3"/>
          <w:w w:val="105"/>
          <w:sz w:val="15"/>
          <w:szCs w:val="15"/>
          <w:lang w:val="es-ES" w:eastAsia="es-ES"/>
        </w:rPr>
        <w:t xml:space="preserve">Excluida 4: </w:t>
      </w:r>
      <w:r>
        <w:rPr>
          <w:rStyle w:val="CharacterStyle3"/>
          <w:rFonts w:ascii="Verdana" w:hAnsi="Verdana" w:cs="Verdana"/>
          <w:i/>
          <w:iCs/>
          <w:spacing w:val="-3"/>
          <w:w w:val="105"/>
          <w:sz w:val="15"/>
          <w:szCs w:val="15"/>
          <w:lang w:val="es-ES" w:eastAsia="es-ES"/>
        </w:rPr>
        <w:t xml:space="preserve">Se refiere a las ofertas a las cuales se les requirió que ampliaran el plazo de su </w:t>
      </w:r>
      <w:r>
        <w:rPr>
          <w:rStyle w:val="CharacterStyle3"/>
          <w:rFonts w:ascii="Verdana" w:hAnsi="Verdana" w:cs="Verdana"/>
          <w:i/>
          <w:iCs/>
          <w:spacing w:val="-2"/>
          <w:w w:val="105"/>
          <w:sz w:val="15"/>
          <w:szCs w:val="15"/>
          <w:lang w:val="es-ES" w:eastAsia="es-ES"/>
        </w:rPr>
        <w:t>oferta y no lo presentaron, demostrando con ello la perdida de interés en el proceso.</w:t>
      </w:r>
    </w:p>
    <w:p w:rsidR="00C9129E" w:rsidRDefault="00C9129E" w:rsidP="00EB0C3D">
      <w:pPr>
        <w:pStyle w:val="Style17"/>
        <w:kinsoku w:val="0"/>
        <w:autoSpaceDE/>
        <w:autoSpaceDN/>
        <w:ind w:right="474"/>
        <w:rPr>
          <w:rStyle w:val="CharacterStyle4"/>
          <w:rFonts w:ascii="Verdana" w:hAnsi="Verdana" w:cs="Verdana"/>
          <w:i/>
          <w:spacing w:val="-3"/>
          <w:w w:val="105"/>
          <w:lang w:val="es-ES" w:eastAsia="es-ES"/>
        </w:rPr>
      </w:pPr>
      <w:r>
        <w:rPr>
          <w:rStyle w:val="CharacterStyle4"/>
          <w:rFonts w:ascii="Verdana" w:hAnsi="Verdana" w:cs="Verdana"/>
          <w:i/>
          <w:w w:val="105"/>
          <w:lang w:val="es-ES" w:eastAsia="es-ES"/>
        </w:rPr>
        <w:t xml:space="preserve">Por otra parte, esta Comisión indica que el presente listado de oferentes debe hacerse pública </w:t>
      </w:r>
      <w:r>
        <w:rPr>
          <w:rStyle w:val="CharacterStyle4"/>
          <w:rFonts w:ascii="Verdana" w:hAnsi="Verdana" w:cs="Verdana"/>
          <w:i/>
          <w:spacing w:val="-4"/>
          <w:w w:val="105"/>
          <w:lang w:val="es-ES" w:eastAsia="es-ES"/>
        </w:rPr>
        <w:t xml:space="preserve">de conformidad con el Artículo 9 del Decreto Ejecutivo 35448- MOPT, para que presenten las </w:t>
      </w:r>
      <w:r>
        <w:rPr>
          <w:rStyle w:val="CharacterStyle4"/>
          <w:rFonts w:ascii="Verdana" w:hAnsi="Verdana" w:cs="Verdana"/>
          <w:i/>
          <w:spacing w:val="-3"/>
          <w:w w:val="105"/>
          <w:lang w:val="es-ES" w:eastAsia="es-ES"/>
        </w:rPr>
        <w:t>observaciones que estimen convenientes.</w:t>
      </w:r>
    </w:p>
    <w:p w:rsidR="00C9129E" w:rsidRDefault="00C9129E" w:rsidP="00EB0C3D">
      <w:pPr>
        <w:pStyle w:val="Style17"/>
        <w:kinsoku w:val="0"/>
        <w:autoSpaceDE/>
        <w:autoSpaceDN/>
        <w:ind w:right="474"/>
        <w:rPr>
          <w:rStyle w:val="CharacterStyle4"/>
          <w:rFonts w:ascii="Verdana" w:hAnsi="Verdana" w:cs="Verdana"/>
          <w:i/>
          <w:spacing w:val="-3"/>
          <w:w w:val="105"/>
          <w:lang w:val="es-ES" w:eastAsia="es-ES"/>
        </w:rPr>
      </w:pPr>
      <w:r>
        <w:rPr>
          <w:rStyle w:val="CharacterStyle4"/>
          <w:rFonts w:ascii="Verdana" w:hAnsi="Verdana" w:cs="Verdana"/>
          <w:i/>
          <w:spacing w:val="-5"/>
          <w:w w:val="105"/>
          <w:lang w:val="es-ES" w:eastAsia="es-ES"/>
        </w:rPr>
        <w:t xml:space="preserve">En razón de lo anterior, se requiere que la Junta Directiva apruebe el listado que contiene las calificaciones a cada una de las ofertas presentadas atendiendo la licitación pública tendiente a </w:t>
      </w:r>
      <w:r>
        <w:rPr>
          <w:rStyle w:val="CharacterStyle4"/>
          <w:rFonts w:ascii="Verdana" w:hAnsi="Verdana" w:cs="Verdana"/>
          <w:i/>
          <w:w w:val="105"/>
          <w:lang w:val="es-ES" w:eastAsia="es-ES"/>
        </w:rPr>
        <w:t xml:space="preserve">concesionar 1034 placas de servicio público modalidad taxis con vehículos adaptados para </w:t>
      </w:r>
      <w:r>
        <w:rPr>
          <w:rStyle w:val="CharacterStyle4"/>
          <w:rFonts w:ascii="Verdana" w:hAnsi="Verdana" w:cs="Verdana"/>
          <w:i/>
          <w:spacing w:val="-7"/>
          <w:w w:val="105"/>
          <w:lang w:val="es-ES" w:eastAsia="es-ES"/>
        </w:rPr>
        <w:t xml:space="preserve">personas con discapacidad y además se autorice a la Administración proceder a exhibir el listado </w:t>
      </w:r>
      <w:r>
        <w:rPr>
          <w:rStyle w:val="CharacterStyle4"/>
          <w:rFonts w:ascii="Verdana" w:hAnsi="Verdana" w:cs="Verdana"/>
          <w:i/>
          <w:spacing w:val="-2"/>
          <w:w w:val="105"/>
          <w:lang w:val="es-ES" w:eastAsia="es-ES"/>
        </w:rPr>
        <w:t xml:space="preserve">públicamente en la Sede Central, oficinas Regionales y sitio Web de este Consejo y publicar el </w:t>
      </w:r>
      <w:r>
        <w:rPr>
          <w:rStyle w:val="CharacterStyle4"/>
          <w:rFonts w:ascii="Verdana" w:hAnsi="Verdana" w:cs="Verdana"/>
          <w:i/>
          <w:spacing w:val="-3"/>
          <w:w w:val="105"/>
          <w:lang w:val="es-ES" w:eastAsia="es-ES"/>
        </w:rPr>
        <w:t>aviso correspondiente tal como se indicó.</w:t>
      </w:r>
    </w:p>
    <w:p w:rsidR="00C9129E" w:rsidRDefault="00C9129E" w:rsidP="00EB0C3D">
      <w:pPr>
        <w:pStyle w:val="Style17"/>
        <w:kinsoku w:val="0"/>
        <w:autoSpaceDE/>
        <w:autoSpaceDN/>
        <w:ind w:right="474"/>
        <w:rPr>
          <w:rStyle w:val="CharacterStyle4"/>
          <w:rFonts w:ascii="Verdana" w:hAnsi="Verdana" w:cs="Verdana"/>
          <w:i/>
          <w:spacing w:val="-3"/>
          <w:w w:val="105"/>
          <w:lang w:val="es-ES" w:eastAsia="es-ES"/>
        </w:rPr>
      </w:pPr>
      <w:r>
        <w:rPr>
          <w:rStyle w:val="CharacterStyle4"/>
          <w:rFonts w:ascii="Verdana" w:hAnsi="Verdana" w:cs="Verdana"/>
          <w:b/>
          <w:bCs/>
          <w:i/>
          <w:spacing w:val="-5"/>
          <w:w w:val="105"/>
          <w:lang w:val="es-ES" w:eastAsia="es-ES"/>
        </w:rPr>
        <w:t xml:space="preserve">SEGUNDO: </w:t>
      </w:r>
      <w:r>
        <w:rPr>
          <w:rStyle w:val="CharacterStyle4"/>
          <w:rFonts w:ascii="Verdana" w:hAnsi="Verdana" w:cs="Verdana"/>
          <w:i/>
          <w:spacing w:val="-5"/>
          <w:w w:val="105"/>
          <w:lang w:val="es-ES" w:eastAsia="es-ES"/>
        </w:rPr>
        <w:t xml:space="preserve">Que el listado de las ofertas presentadas en la licitación tendiente a autorizar 1034 concesiones de taxis adaptadas para personas con discapacidad, así como sus calificaciones y </w:t>
      </w:r>
      <w:r>
        <w:rPr>
          <w:rStyle w:val="CharacterStyle4"/>
          <w:rFonts w:ascii="Verdana" w:hAnsi="Verdana" w:cs="Verdana"/>
          <w:i/>
          <w:spacing w:val="-3"/>
          <w:w w:val="105"/>
          <w:lang w:val="es-ES" w:eastAsia="es-ES"/>
        </w:rPr>
        <w:t>observaciones se describen a continuación:</w:t>
      </w:r>
    </w:p>
    <w:p w:rsidR="00EB0C3D" w:rsidRDefault="00EB0C3D" w:rsidP="00EB0C3D">
      <w:pPr>
        <w:pStyle w:val="Style17"/>
        <w:kinsoku w:val="0"/>
        <w:autoSpaceDE/>
        <w:autoSpaceDN/>
        <w:ind w:right="474"/>
        <w:rPr>
          <w:rStyle w:val="CharacterStyle4"/>
          <w:rFonts w:ascii="Verdana" w:hAnsi="Verdana" w:cs="Verdana"/>
          <w:i/>
          <w:spacing w:val="-3"/>
          <w:w w:val="105"/>
          <w:lang w:val="es-ES" w:eastAsia="es-ES"/>
        </w:rPr>
      </w:pPr>
    </w:p>
    <w:p w:rsidR="00C9129E" w:rsidRDefault="00C9129E">
      <w:pPr>
        <w:pStyle w:val="Style6"/>
        <w:tabs>
          <w:tab w:val="right" w:leader="dot" w:pos="1134"/>
        </w:tabs>
        <w:kinsoku w:val="0"/>
        <w:autoSpaceDE/>
        <w:autoSpaceDN/>
        <w:adjustRightInd/>
        <w:ind w:left="792"/>
        <w:rPr>
          <w:rStyle w:val="CharacterStyle3"/>
          <w:rFonts w:ascii="Verdana" w:hAnsi="Verdana" w:cs="Verdana"/>
          <w:i/>
          <w:iCs/>
          <w:w w:val="105"/>
          <w:sz w:val="15"/>
          <w:szCs w:val="15"/>
          <w:lang w:val="es-ES" w:eastAsia="es-ES"/>
        </w:rPr>
      </w:pPr>
      <w:r>
        <w:rPr>
          <w:rStyle w:val="CharacterStyle3"/>
          <w:rFonts w:ascii="Verdana" w:hAnsi="Verdana" w:cs="Verdana"/>
          <w:i/>
          <w:iCs/>
          <w:w w:val="105"/>
          <w:sz w:val="15"/>
          <w:szCs w:val="15"/>
          <w:lang w:val="es-ES" w:eastAsia="es-ES"/>
        </w:rPr>
        <w:tab/>
        <w:t>)</w:t>
      </w:r>
    </w:p>
    <w:tbl>
      <w:tblPr>
        <w:tblW w:w="0" w:type="auto"/>
        <w:tblInd w:w="15" w:type="dxa"/>
        <w:tblLayout w:type="fixed"/>
        <w:tblCellMar>
          <w:left w:w="0" w:type="dxa"/>
          <w:right w:w="0" w:type="dxa"/>
        </w:tblCellMar>
        <w:tblLook w:val="0000"/>
      </w:tblPr>
      <w:tblGrid>
        <w:gridCol w:w="749"/>
        <w:gridCol w:w="2184"/>
        <w:gridCol w:w="1094"/>
        <w:gridCol w:w="859"/>
        <w:gridCol w:w="528"/>
        <w:gridCol w:w="629"/>
        <w:gridCol w:w="658"/>
        <w:gridCol w:w="681"/>
        <w:gridCol w:w="514"/>
        <w:gridCol w:w="989"/>
      </w:tblGrid>
      <w:tr w:rsidR="00C9129E" w:rsidRPr="00740050">
        <w:tblPrEx>
          <w:tblCellMar>
            <w:top w:w="0" w:type="dxa"/>
            <w:left w:w="0" w:type="dxa"/>
            <w:bottom w:w="0" w:type="dxa"/>
            <w:right w:w="0" w:type="dxa"/>
          </w:tblCellMar>
        </w:tblPrEx>
        <w:trPr>
          <w:trHeight w:hRule="exact" w:val="547"/>
        </w:trPr>
        <w:tc>
          <w:tcPr>
            <w:tcW w:w="749"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52"/>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OFERTA</w:t>
            </w:r>
            <w:r w:rsidRPr="00740050">
              <w:rPr>
                <w:rStyle w:val="CharacterStyle3"/>
                <w:rFonts w:ascii="Bookman Old Style" w:hAnsi="Bookman Old Style" w:cs="Bookman Old Style"/>
                <w:sz w:val="12"/>
                <w:szCs w:val="12"/>
                <w:lang w:val="es-ES" w:eastAsia="es-ES"/>
              </w:rPr>
              <w:br/>
              <w:t>N°</w:t>
            </w:r>
          </w:p>
        </w:tc>
        <w:tc>
          <w:tcPr>
            <w:tcW w:w="2184"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360"/>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OFERENTE</w:t>
            </w:r>
          </w:p>
        </w:tc>
        <w:tc>
          <w:tcPr>
            <w:tcW w:w="1094"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360"/>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CEDULA</w:t>
            </w:r>
          </w:p>
        </w:tc>
        <w:tc>
          <w:tcPr>
            <w:tcW w:w="859"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360"/>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PROVINCIA</w:t>
            </w:r>
          </w:p>
        </w:tc>
        <w:tc>
          <w:tcPr>
            <w:tcW w:w="528" w:type="dxa"/>
            <w:tcBorders>
              <w:top w:val="single" w:sz="4" w:space="0" w:color="auto"/>
              <w:left w:val="single" w:sz="4" w:space="0" w:color="auto"/>
              <w:bottom w:val="single" w:sz="4" w:space="0" w:color="auto"/>
              <w:right w:val="single" w:sz="4" w:space="0" w:color="auto"/>
            </w:tcBorders>
          </w:tcPr>
          <w:p w:rsidR="00C9129E" w:rsidRPr="00740050" w:rsidRDefault="00C9129E">
            <w:pPr>
              <w:pStyle w:val="Style6"/>
              <w:kinsoku w:val="0"/>
              <w:autoSpaceDE/>
              <w:autoSpaceDN/>
              <w:adjustRightInd/>
              <w:spacing w:line="228" w:lineRule="auto"/>
              <w:ind w:left="144" w:right="72"/>
              <w:jc w:val="both"/>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pacing w:val="-10"/>
                <w:sz w:val="12"/>
                <w:szCs w:val="12"/>
                <w:lang w:val="es-ES" w:eastAsia="es-ES"/>
              </w:rPr>
              <w:t xml:space="preserve">BASE </w:t>
            </w:r>
            <w:r w:rsidRPr="00740050">
              <w:rPr>
                <w:rStyle w:val="CharacterStyle3"/>
                <w:rFonts w:ascii="Bookman Old Style" w:hAnsi="Bookman Old Style" w:cs="Bookman Old Style"/>
                <w:sz w:val="12"/>
                <w:szCs w:val="12"/>
                <w:lang w:val="es-ES" w:eastAsia="es-ES"/>
              </w:rPr>
              <w:t xml:space="preserve">DE </w:t>
            </w:r>
            <w:r w:rsidRPr="00740050">
              <w:rPr>
                <w:rStyle w:val="CharacterStyle3"/>
                <w:rFonts w:ascii="Bookman Old Style" w:hAnsi="Bookman Old Style" w:cs="Bookman Old Style"/>
                <w:spacing w:val="-12"/>
                <w:sz w:val="12"/>
                <w:szCs w:val="12"/>
                <w:lang w:val="es-ES" w:eastAsia="es-ES"/>
              </w:rPr>
              <w:t xml:space="preserve">OPER </w:t>
            </w:r>
            <w:r w:rsidRPr="00740050">
              <w:rPr>
                <w:rStyle w:val="CharacterStyle3"/>
                <w:rFonts w:ascii="Bookman Old Style" w:hAnsi="Bookman Old Style" w:cs="Bookman Old Style"/>
                <w:sz w:val="12"/>
                <w:szCs w:val="12"/>
                <w:lang w:val="es-ES" w:eastAsia="es-ES"/>
              </w:rPr>
              <w:t>AC.</w:t>
            </w:r>
          </w:p>
        </w:tc>
        <w:tc>
          <w:tcPr>
            <w:tcW w:w="629"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52"/>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CALIFIC</w:t>
            </w:r>
            <w:r w:rsidRPr="00740050">
              <w:rPr>
                <w:rStyle w:val="CharacterStyle3"/>
                <w:rFonts w:ascii="Bookman Old Style" w:hAnsi="Bookman Old Style" w:cs="Bookman Old Style"/>
                <w:sz w:val="12"/>
                <w:szCs w:val="12"/>
                <w:lang w:val="es-ES" w:eastAsia="es-ES"/>
              </w:rPr>
              <w:br/>
              <w:t>ACION</w:t>
            </w:r>
          </w:p>
        </w:tc>
        <w:tc>
          <w:tcPr>
            <w:tcW w:w="658"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52"/>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ORD/</w:t>
            </w:r>
            <w:r w:rsidRPr="00740050">
              <w:rPr>
                <w:rStyle w:val="CharacterStyle3"/>
                <w:rFonts w:ascii="Bookman Old Style" w:hAnsi="Bookman Old Style" w:cs="Bookman Old Style"/>
                <w:sz w:val="12"/>
                <w:szCs w:val="12"/>
                <w:lang w:val="es-ES" w:eastAsia="es-ES"/>
              </w:rPr>
              <w:br/>
              <w:t>EXTRAO</w:t>
            </w:r>
          </w:p>
        </w:tc>
        <w:tc>
          <w:tcPr>
            <w:tcW w:w="681"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108"/>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CALIFIC</w:t>
            </w:r>
            <w:r w:rsidRPr="00740050">
              <w:rPr>
                <w:rStyle w:val="CharacterStyle3"/>
                <w:rFonts w:ascii="Bookman Old Style" w:hAnsi="Bookman Old Style" w:cs="Bookman Old Style"/>
                <w:sz w:val="12"/>
                <w:szCs w:val="12"/>
                <w:lang w:val="es-ES" w:eastAsia="es-ES"/>
              </w:rPr>
              <w:br/>
              <w:t>ACION</w:t>
            </w:r>
            <w:r w:rsidRPr="00740050">
              <w:rPr>
                <w:rStyle w:val="CharacterStyle3"/>
                <w:rFonts w:ascii="Bookman Old Style" w:hAnsi="Bookman Old Style" w:cs="Bookman Old Style"/>
                <w:sz w:val="12"/>
                <w:szCs w:val="12"/>
                <w:lang w:val="es-ES" w:eastAsia="es-ES"/>
              </w:rPr>
              <w:br/>
              <w:t>CCSS</w:t>
            </w:r>
          </w:p>
        </w:tc>
        <w:tc>
          <w:tcPr>
            <w:tcW w:w="514" w:type="dxa"/>
            <w:tcBorders>
              <w:top w:val="single" w:sz="4" w:space="0" w:color="auto"/>
              <w:left w:val="single" w:sz="4" w:space="0" w:color="auto"/>
              <w:bottom w:val="single" w:sz="4" w:space="0" w:color="auto"/>
              <w:right w:val="single" w:sz="4" w:space="0" w:color="auto"/>
            </w:tcBorders>
          </w:tcPr>
          <w:p w:rsidR="00C9129E" w:rsidRPr="00740050" w:rsidRDefault="00C9129E">
            <w:pPr>
              <w:pStyle w:val="Style6"/>
              <w:kinsoku w:val="0"/>
              <w:autoSpaceDE/>
              <w:autoSpaceDN/>
              <w:adjustRightInd/>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TOTA</w:t>
            </w:r>
            <w:r w:rsidRPr="00740050">
              <w:rPr>
                <w:rStyle w:val="CharacterStyle3"/>
                <w:rFonts w:ascii="Bookman Old Style" w:hAnsi="Bookman Old Style" w:cs="Bookman Old Style"/>
                <w:sz w:val="12"/>
                <w:szCs w:val="12"/>
                <w:lang w:val="es-ES" w:eastAsia="es-ES"/>
              </w:rPr>
              <w:br/>
              <w:t>L</w:t>
            </w:r>
            <w:r w:rsidRPr="00740050">
              <w:rPr>
                <w:rStyle w:val="CharacterStyle3"/>
                <w:rFonts w:ascii="Bookman Old Style" w:hAnsi="Bookman Old Style" w:cs="Bookman Old Style"/>
                <w:sz w:val="12"/>
                <w:szCs w:val="12"/>
                <w:lang w:val="es-ES" w:eastAsia="es-ES"/>
              </w:rPr>
              <w:br/>
              <w:t>CAL1F</w:t>
            </w:r>
          </w:p>
        </w:tc>
        <w:tc>
          <w:tcPr>
            <w:tcW w:w="989"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396"/>
              <w:ind w:right="657"/>
              <w:jc w:val="right"/>
              <w:rPr>
                <w:rStyle w:val="CharacterStyle3"/>
                <w:rFonts w:ascii="Bookman Old Style" w:hAnsi="Bookman Old Style" w:cs="Bookman Old Style"/>
                <w:spacing w:val="-10"/>
                <w:sz w:val="12"/>
                <w:szCs w:val="12"/>
                <w:lang w:val="es-ES" w:eastAsia="es-ES"/>
              </w:rPr>
            </w:pPr>
            <w:r w:rsidRPr="00740050">
              <w:rPr>
                <w:rStyle w:val="CharacterStyle3"/>
                <w:rFonts w:ascii="Bookman Old Style" w:hAnsi="Bookman Old Style" w:cs="Bookman Old Style"/>
                <w:spacing w:val="-10"/>
                <w:sz w:val="12"/>
                <w:szCs w:val="12"/>
                <w:lang w:val="es-ES" w:eastAsia="es-ES"/>
              </w:rPr>
              <w:t>OBS.</w:t>
            </w:r>
          </w:p>
        </w:tc>
      </w:tr>
      <w:tr w:rsidR="00C9129E" w:rsidRPr="00740050">
        <w:tblPrEx>
          <w:tblCellMar>
            <w:top w:w="0" w:type="dxa"/>
            <w:left w:w="0" w:type="dxa"/>
            <w:bottom w:w="0" w:type="dxa"/>
            <w:right w:w="0" w:type="dxa"/>
          </w:tblCellMar>
        </w:tblPrEx>
        <w:trPr>
          <w:trHeight w:hRule="exact" w:val="480"/>
        </w:trPr>
        <w:tc>
          <w:tcPr>
            <w:tcW w:w="749" w:type="dxa"/>
            <w:tcBorders>
              <w:top w:val="single" w:sz="4" w:space="0" w:color="auto"/>
              <w:left w:val="single" w:sz="4" w:space="0" w:color="auto"/>
              <w:bottom w:val="single" w:sz="4" w:space="0" w:color="auto"/>
              <w:right w:val="single" w:sz="4" w:space="0" w:color="auto"/>
            </w:tcBorders>
            <w:vAlign w:val="bottom"/>
          </w:tcPr>
          <w:p w:rsidR="00C9129E" w:rsidRPr="00740050" w:rsidRDefault="00B17A12">
            <w:pPr>
              <w:pStyle w:val="Style6"/>
              <w:kinsoku w:val="0"/>
              <w:autoSpaceDE/>
              <w:autoSpaceDN/>
              <w:adjustRightInd/>
              <w:spacing w:before="288"/>
              <w:jc w:val="center"/>
              <w:rPr>
                <w:rStyle w:val="CharacterStyle3"/>
                <w:rFonts w:ascii="Bookman Old Style" w:hAnsi="Bookman Old Style" w:cs="Bookman Old Style"/>
                <w:sz w:val="12"/>
                <w:szCs w:val="12"/>
                <w:lang w:val="es-ES" w:eastAsia="es-ES"/>
              </w:rPr>
            </w:pPr>
            <w:r>
              <w:rPr>
                <w:rStyle w:val="CharacterStyle3"/>
                <w:rFonts w:ascii="Bookman Old Style" w:hAnsi="Bookman Old Style" w:cs="Bookman Old Style"/>
                <w:sz w:val="12"/>
                <w:szCs w:val="12"/>
                <w:lang w:val="es-ES" w:eastAsia="es-ES"/>
              </w:rPr>
              <w:t>XXX</w:t>
            </w:r>
          </w:p>
        </w:tc>
        <w:tc>
          <w:tcPr>
            <w:tcW w:w="2184"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rsidP="00B17A12">
            <w:pPr>
              <w:pStyle w:val="Style6"/>
              <w:kinsoku w:val="0"/>
              <w:autoSpaceDE/>
              <w:autoSpaceDN/>
              <w:adjustRightInd/>
              <w:spacing w:before="180"/>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pacing w:val="-4"/>
                <w:sz w:val="12"/>
                <w:szCs w:val="12"/>
                <w:lang w:val="es-ES" w:eastAsia="es-ES"/>
              </w:rPr>
              <w:t>S</w:t>
            </w:r>
            <w:r w:rsidR="00B17A12">
              <w:rPr>
                <w:rStyle w:val="CharacterStyle3"/>
                <w:rFonts w:ascii="Bookman Old Style" w:hAnsi="Bookman Old Style" w:cs="Bookman Old Style"/>
                <w:spacing w:val="-4"/>
                <w:sz w:val="12"/>
                <w:szCs w:val="12"/>
                <w:lang w:val="es-ES" w:eastAsia="es-ES"/>
              </w:rPr>
              <w:t>.</w:t>
            </w:r>
            <w:r w:rsidRPr="00740050">
              <w:rPr>
                <w:rStyle w:val="CharacterStyle3"/>
                <w:rFonts w:ascii="Bookman Old Style" w:hAnsi="Bookman Old Style" w:cs="Bookman Old Style"/>
                <w:spacing w:val="-4"/>
                <w:sz w:val="12"/>
                <w:szCs w:val="12"/>
                <w:lang w:val="es-ES" w:eastAsia="es-ES"/>
              </w:rPr>
              <w:t>V</w:t>
            </w:r>
            <w:r w:rsidR="00B17A12">
              <w:rPr>
                <w:rStyle w:val="CharacterStyle3"/>
                <w:rFonts w:ascii="Bookman Old Style" w:hAnsi="Bookman Old Style" w:cs="Bookman Old Style"/>
                <w:spacing w:val="-4"/>
                <w:sz w:val="12"/>
                <w:szCs w:val="12"/>
                <w:lang w:val="es-ES" w:eastAsia="es-ES"/>
              </w:rPr>
              <w:t>.</w:t>
            </w:r>
            <w:r w:rsidRPr="00740050">
              <w:rPr>
                <w:rStyle w:val="CharacterStyle3"/>
                <w:rFonts w:ascii="Bookman Old Style" w:hAnsi="Bookman Old Style" w:cs="Bookman Old Style"/>
                <w:spacing w:val="-4"/>
                <w:sz w:val="12"/>
                <w:szCs w:val="12"/>
                <w:lang w:val="es-ES" w:eastAsia="es-ES"/>
              </w:rPr>
              <w:t>D</w:t>
            </w:r>
            <w:r w:rsidR="00B17A12">
              <w:rPr>
                <w:rStyle w:val="CharacterStyle3"/>
                <w:rFonts w:ascii="Bookman Old Style" w:hAnsi="Bookman Old Style" w:cs="Bookman Old Style"/>
                <w:spacing w:val="-4"/>
                <w:sz w:val="12"/>
                <w:szCs w:val="12"/>
                <w:lang w:val="es-ES" w:eastAsia="es-ES"/>
              </w:rPr>
              <w:t>.</w:t>
            </w:r>
            <w:r w:rsidRPr="00740050">
              <w:rPr>
                <w:rStyle w:val="CharacterStyle3"/>
                <w:rFonts w:ascii="Bookman Old Style" w:hAnsi="Bookman Old Style" w:cs="Bookman Old Style"/>
                <w:sz w:val="12"/>
                <w:szCs w:val="12"/>
                <w:lang w:val="es-ES" w:eastAsia="es-ES"/>
              </w:rPr>
              <w:t>A</w:t>
            </w:r>
            <w:r w:rsidR="00B17A12">
              <w:rPr>
                <w:rStyle w:val="CharacterStyle3"/>
                <w:rFonts w:ascii="Bookman Old Style" w:hAnsi="Bookman Old Style" w:cs="Bookman Old Style"/>
                <w:sz w:val="12"/>
                <w:szCs w:val="12"/>
                <w:lang w:val="es-ES" w:eastAsia="es-ES"/>
              </w:rPr>
              <w:t>.</w:t>
            </w:r>
          </w:p>
        </w:tc>
        <w:tc>
          <w:tcPr>
            <w:tcW w:w="1094" w:type="dxa"/>
            <w:tcBorders>
              <w:top w:val="single" w:sz="4" w:space="0" w:color="auto"/>
              <w:left w:val="single" w:sz="4" w:space="0" w:color="auto"/>
              <w:bottom w:val="single" w:sz="4" w:space="0" w:color="auto"/>
              <w:right w:val="single" w:sz="4" w:space="0" w:color="auto"/>
            </w:tcBorders>
            <w:vAlign w:val="bottom"/>
          </w:tcPr>
          <w:p w:rsidR="00C9129E" w:rsidRPr="00740050" w:rsidRDefault="00B17A12">
            <w:pPr>
              <w:pStyle w:val="Style6"/>
              <w:kinsoku w:val="0"/>
              <w:autoSpaceDE/>
              <w:autoSpaceDN/>
              <w:adjustRightInd/>
              <w:spacing w:before="288"/>
              <w:jc w:val="center"/>
              <w:rPr>
                <w:rStyle w:val="CharacterStyle3"/>
                <w:rFonts w:ascii="Bookman Old Style" w:hAnsi="Bookman Old Style" w:cs="Bookman Old Style"/>
                <w:spacing w:val="-16"/>
                <w:sz w:val="12"/>
                <w:szCs w:val="12"/>
                <w:lang w:val="es-ES" w:eastAsia="es-ES"/>
              </w:rPr>
            </w:pPr>
            <w:r>
              <w:rPr>
                <w:rStyle w:val="CharacterStyle3"/>
                <w:rFonts w:ascii="Bookman Old Style" w:hAnsi="Bookman Old Style" w:cs="Bookman Old Style"/>
                <w:spacing w:val="-16"/>
                <w:sz w:val="12"/>
                <w:szCs w:val="12"/>
                <w:lang w:val="es-ES" w:eastAsia="es-ES"/>
              </w:rPr>
              <w:t>…</w:t>
            </w:r>
          </w:p>
        </w:tc>
        <w:tc>
          <w:tcPr>
            <w:tcW w:w="859"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180"/>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PUNTARENA</w:t>
            </w:r>
            <w:r w:rsidRPr="00740050">
              <w:rPr>
                <w:rStyle w:val="CharacterStyle3"/>
                <w:rFonts w:ascii="Bookman Old Style" w:hAnsi="Bookman Old Style" w:cs="Bookman Old Style"/>
                <w:sz w:val="12"/>
                <w:szCs w:val="12"/>
                <w:lang w:val="es-ES" w:eastAsia="es-ES"/>
              </w:rPr>
              <w:br/>
              <w:t>S</w:t>
            </w:r>
          </w:p>
        </w:tc>
        <w:tc>
          <w:tcPr>
            <w:tcW w:w="528"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88"/>
              <w:jc w:val="center"/>
              <w:rPr>
                <w:rStyle w:val="CharacterStyle3"/>
                <w:rFonts w:ascii="Bookman Old Style" w:hAnsi="Bookman Old Style" w:cs="Bookman Old Style"/>
                <w:spacing w:val="-6"/>
                <w:sz w:val="12"/>
                <w:szCs w:val="12"/>
                <w:lang w:val="es-ES" w:eastAsia="es-ES"/>
              </w:rPr>
            </w:pPr>
            <w:r w:rsidRPr="00740050">
              <w:rPr>
                <w:rStyle w:val="CharacterStyle3"/>
                <w:rFonts w:ascii="Bookman Old Style" w:hAnsi="Bookman Old Style" w:cs="Bookman Old Style"/>
                <w:spacing w:val="-6"/>
                <w:sz w:val="12"/>
                <w:szCs w:val="12"/>
                <w:lang w:val="es-ES" w:eastAsia="es-ES"/>
              </w:rPr>
              <w:t>610019</w:t>
            </w:r>
          </w:p>
        </w:tc>
        <w:tc>
          <w:tcPr>
            <w:tcW w:w="629"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88"/>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40</w:t>
            </w:r>
          </w:p>
        </w:tc>
        <w:tc>
          <w:tcPr>
            <w:tcW w:w="658"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88"/>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ORD</w:t>
            </w:r>
          </w:p>
        </w:tc>
        <w:tc>
          <w:tcPr>
            <w:tcW w:w="681"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88"/>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0</w:t>
            </w:r>
          </w:p>
        </w:tc>
        <w:tc>
          <w:tcPr>
            <w:tcW w:w="514" w:type="dxa"/>
            <w:tcBorders>
              <w:top w:val="single" w:sz="4" w:space="0" w:color="auto"/>
              <w:left w:val="single" w:sz="4" w:space="0" w:color="auto"/>
              <w:bottom w:val="single" w:sz="4" w:space="0" w:color="auto"/>
              <w:right w:val="single" w:sz="4" w:space="0" w:color="auto"/>
            </w:tcBorders>
            <w:vAlign w:val="bottom"/>
          </w:tcPr>
          <w:p w:rsidR="00C9129E" w:rsidRPr="00740050" w:rsidRDefault="00C9129E">
            <w:pPr>
              <w:pStyle w:val="Style6"/>
              <w:kinsoku w:val="0"/>
              <w:autoSpaceDE/>
              <w:autoSpaceDN/>
              <w:adjustRightInd/>
              <w:spacing w:before="288"/>
              <w:jc w:val="center"/>
              <w:rPr>
                <w:rStyle w:val="CharacterStyle3"/>
                <w:rFonts w:ascii="Bookman Old Style" w:hAnsi="Bookman Old Style" w:cs="Bookman Old Style"/>
                <w:sz w:val="12"/>
                <w:szCs w:val="12"/>
                <w:lang w:val="es-ES" w:eastAsia="es-ES"/>
              </w:rPr>
            </w:pPr>
            <w:r w:rsidRPr="00740050">
              <w:rPr>
                <w:rStyle w:val="CharacterStyle3"/>
                <w:rFonts w:ascii="Bookman Old Style" w:hAnsi="Bookman Old Style" w:cs="Bookman Old Style"/>
                <w:sz w:val="12"/>
                <w:szCs w:val="12"/>
                <w:lang w:val="es-ES" w:eastAsia="es-ES"/>
              </w:rPr>
              <w:t>40</w:t>
            </w:r>
          </w:p>
        </w:tc>
        <w:tc>
          <w:tcPr>
            <w:tcW w:w="989" w:type="dxa"/>
            <w:tcBorders>
              <w:top w:val="single" w:sz="4" w:space="0" w:color="auto"/>
              <w:left w:val="single" w:sz="4" w:space="0" w:color="auto"/>
              <w:bottom w:val="single" w:sz="4" w:space="0" w:color="auto"/>
              <w:right w:val="single" w:sz="4" w:space="0" w:color="auto"/>
            </w:tcBorders>
          </w:tcPr>
          <w:p w:rsidR="00C9129E" w:rsidRPr="00740050" w:rsidRDefault="00C9129E">
            <w:pPr>
              <w:pStyle w:val="Style6"/>
              <w:kinsoku w:val="0"/>
              <w:autoSpaceDE/>
              <w:autoSpaceDN/>
              <w:adjustRightInd/>
              <w:rPr>
                <w:rStyle w:val="CharacterStyle3"/>
                <w:rFonts w:ascii="Bookman Old Style" w:hAnsi="Bookman Old Style" w:cs="Bookman Old Style"/>
                <w:lang w:eastAsia="en-US"/>
              </w:rPr>
            </w:pPr>
          </w:p>
        </w:tc>
      </w:tr>
    </w:tbl>
    <w:p w:rsidR="00C9129E" w:rsidRDefault="00C9129E">
      <w:pPr>
        <w:pStyle w:val="Style6"/>
        <w:tabs>
          <w:tab w:val="right" w:leader="dot" w:pos="1129"/>
        </w:tabs>
        <w:kinsoku w:val="0"/>
        <w:autoSpaceDE/>
        <w:autoSpaceDN/>
        <w:adjustRightInd/>
        <w:spacing w:before="72" w:after="108" w:line="578" w:lineRule="auto"/>
        <w:ind w:left="792"/>
        <w:rPr>
          <w:rStyle w:val="CharacterStyle3"/>
          <w:rFonts w:ascii="Arial" w:hAnsi="Arial" w:cs="Arial"/>
          <w:sz w:val="6"/>
          <w:szCs w:val="6"/>
          <w:lang w:val="es-ES" w:eastAsia="es-ES"/>
        </w:rPr>
      </w:pPr>
      <w:r>
        <w:rPr>
          <w:rStyle w:val="CharacterStyle3"/>
          <w:rFonts w:ascii="Arial" w:hAnsi="Arial" w:cs="Arial"/>
          <w:sz w:val="6"/>
          <w:szCs w:val="6"/>
          <w:lang w:val="es-ES" w:eastAsia="es-ES"/>
        </w:rPr>
        <w:tab/>
        <w:t>)</w:t>
      </w:r>
    </w:p>
    <w:p w:rsidR="00C9129E" w:rsidRDefault="00C9129E">
      <w:pPr>
        <w:pStyle w:val="Style17"/>
        <w:kinsoku w:val="0"/>
        <w:autoSpaceDE/>
        <w:autoSpaceDN/>
        <w:spacing w:before="0"/>
        <w:rPr>
          <w:rStyle w:val="CharacterStyle4"/>
          <w:rFonts w:ascii="Verdana" w:hAnsi="Verdana" w:cs="Verdana"/>
          <w:i/>
          <w:spacing w:val="-3"/>
          <w:w w:val="105"/>
          <w:lang w:val="es-ES" w:eastAsia="es-ES"/>
        </w:rPr>
      </w:pPr>
      <w:r>
        <w:rPr>
          <w:rStyle w:val="CharacterStyle4"/>
          <w:rFonts w:ascii="Verdana" w:hAnsi="Verdana" w:cs="Verdana"/>
          <w:b/>
          <w:bCs/>
          <w:i/>
          <w:spacing w:val="-1"/>
          <w:w w:val="105"/>
          <w:lang w:val="es-ES" w:eastAsia="es-ES"/>
        </w:rPr>
        <w:t xml:space="preserve">TERCERO: </w:t>
      </w:r>
      <w:r>
        <w:rPr>
          <w:rStyle w:val="CharacterStyle4"/>
          <w:rFonts w:ascii="Verdana" w:hAnsi="Verdana" w:cs="Verdana"/>
          <w:i/>
          <w:spacing w:val="-1"/>
          <w:w w:val="105"/>
          <w:lang w:val="es-ES" w:eastAsia="es-ES"/>
        </w:rPr>
        <w:t xml:space="preserve">Que una vez conocido el informe de la Comisión sobre el listado de las ofertas presentadas en la licitación tendiente a autorizar 1034 concesiones de taxis adaptadas para </w:t>
      </w:r>
      <w:r>
        <w:rPr>
          <w:rStyle w:val="CharacterStyle4"/>
          <w:rFonts w:ascii="Verdana" w:hAnsi="Verdana" w:cs="Verdana"/>
          <w:i/>
          <w:spacing w:val="-2"/>
          <w:w w:val="105"/>
          <w:lang w:val="es-ES" w:eastAsia="es-ES"/>
        </w:rPr>
        <w:t xml:space="preserve">personas con discapacidad, así como sus calificaciones y observaciones, esta Junta Directiva aprueba este listado y autoriza a la Administración proceder a exhibir el listado públicamente en </w:t>
      </w:r>
      <w:r>
        <w:rPr>
          <w:rStyle w:val="CharacterStyle4"/>
          <w:rFonts w:ascii="Verdana" w:hAnsi="Verdana" w:cs="Verdana"/>
          <w:i/>
          <w:spacing w:val="5"/>
          <w:w w:val="105"/>
          <w:lang w:val="es-ES" w:eastAsia="es-ES"/>
        </w:rPr>
        <w:t xml:space="preserve">la Sede Central, oficinas Regionales y sitio Web de este Consejo y publicar el aviso </w:t>
      </w:r>
      <w:r>
        <w:rPr>
          <w:rStyle w:val="CharacterStyle4"/>
          <w:rFonts w:ascii="Verdana" w:hAnsi="Verdana" w:cs="Verdana"/>
          <w:i/>
          <w:spacing w:val="-3"/>
          <w:w w:val="105"/>
          <w:lang w:val="es-ES" w:eastAsia="es-ES"/>
        </w:rPr>
        <w:t>correspondiente en el Diario Oficial La Gaceta.</w:t>
      </w:r>
    </w:p>
    <w:p w:rsidR="00C9129E" w:rsidRDefault="00C9129E">
      <w:pPr>
        <w:pStyle w:val="Style6"/>
        <w:kinsoku w:val="0"/>
        <w:autoSpaceDE/>
        <w:autoSpaceDN/>
        <w:adjustRightInd/>
        <w:spacing w:before="180" w:line="199" w:lineRule="auto"/>
        <w:ind w:left="720"/>
        <w:rPr>
          <w:rStyle w:val="CharacterStyle3"/>
          <w:rFonts w:ascii="Verdana" w:hAnsi="Verdana" w:cs="Verdana"/>
          <w:b/>
          <w:bCs/>
          <w:i/>
          <w:iCs/>
          <w:spacing w:val="-4"/>
          <w:w w:val="105"/>
          <w:sz w:val="15"/>
          <w:szCs w:val="15"/>
          <w:lang w:val="es-ES" w:eastAsia="es-ES"/>
        </w:rPr>
      </w:pPr>
      <w:r>
        <w:rPr>
          <w:rStyle w:val="CharacterStyle3"/>
          <w:rFonts w:ascii="Verdana" w:hAnsi="Verdana" w:cs="Verdana"/>
          <w:b/>
          <w:bCs/>
          <w:i/>
          <w:iCs/>
          <w:spacing w:val="-4"/>
          <w:w w:val="105"/>
          <w:sz w:val="15"/>
          <w:szCs w:val="15"/>
          <w:lang w:val="es-ES" w:eastAsia="es-ES"/>
        </w:rPr>
        <w:t>POR TANTO SE ACUERDA EN FIRME</w:t>
      </w:r>
    </w:p>
    <w:p w:rsidR="00C9129E" w:rsidRDefault="00C9129E" w:rsidP="00EB0C3D">
      <w:pPr>
        <w:pStyle w:val="Style6"/>
        <w:kinsoku w:val="0"/>
        <w:autoSpaceDE/>
        <w:autoSpaceDN/>
        <w:adjustRightInd/>
        <w:ind w:left="720" w:right="720" w:hanging="360"/>
        <w:jc w:val="both"/>
        <w:rPr>
          <w:rStyle w:val="CharacterStyle3"/>
          <w:rFonts w:ascii="Verdana" w:hAnsi="Verdana" w:cs="Verdana"/>
          <w:i/>
          <w:iCs/>
          <w:spacing w:val="-4"/>
          <w:w w:val="105"/>
          <w:sz w:val="15"/>
          <w:szCs w:val="15"/>
          <w:lang w:val="es-ES" w:eastAsia="es-ES"/>
        </w:rPr>
      </w:pPr>
      <w:r>
        <w:rPr>
          <w:rStyle w:val="CharacterStyle3"/>
          <w:rFonts w:ascii="Verdana" w:hAnsi="Verdana" w:cs="Verdana"/>
          <w:b/>
          <w:bCs/>
          <w:i/>
          <w:iCs/>
          <w:spacing w:val="2"/>
          <w:w w:val="105"/>
          <w:sz w:val="15"/>
          <w:szCs w:val="15"/>
          <w:lang w:val="es-ES" w:eastAsia="es-ES"/>
        </w:rPr>
        <w:t xml:space="preserve">1. </w:t>
      </w:r>
      <w:r>
        <w:rPr>
          <w:rStyle w:val="CharacterStyle3"/>
          <w:rFonts w:ascii="Verdana" w:hAnsi="Verdana" w:cs="Verdana"/>
          <w:i/>
          <w:iCs/>
          <w:spacing w:val="2"/>
          <w:w w:val="105"/>
          <w:sz w:val="15"/>
          <w:szCs w:val="15"/>
          <w:lang w:val="es-ES" w:eastAsia="es-ES"/>
        </w:rPr>
        <w:t xml:space="preserve">Aprobar el listado de las ofertas presentadas en la licitación tendiente a autorizar 1034 </w:t>
      </w:r>
      <w:r>
        <w:rPr>
          <w:rStyle w:val="CharacterStyle3"/>
          <w:rFonts w:ascii="Verdana" w:hAnsi="Verdana" w:cs="Verdana"/>
          <w:i/>
          <w:iCs/>
          <w:spacing w:val="-5"/>
          <w:w w:val="105"/>
          <w:sz w:val="15"/>
          <w:szCs w:val="15"/>
          <w:lang w:val="es-ES" w:eastAsia="es-ES"/>
        </w:rPr>
        <w:t xml:space="preserve">concesiones de taxis adaptadas para personas con discapacidad, así como sus calificaciones y </w:t>
      </w:r>
      <w:r>
        <w:rPr>
          <w:rStyle w:val="CharacterStyle3"/>
          <w:rFonts w:ascii="Verdana" w:hAnsi="Verdana" w:cs="Verdana"/>
          <w:i/>
          <w:iCs/>
          <w:spacing w:val="-4"/>
          <w:w w:val="105"/>
          <w:sz w:val="15"/>
          <w:szCs w:val="15"/>
          <w:lang w:val="es-ES" w:eastAsia="es-ES"/>
        </w:rPr>
        <w:t>observaciones de la Comisión encargada.</w:t>
      </w:r>
    </w:p>
    <w:p w:rsidR="00C9129E" w:rsidRDefault="00C9129E" w:rsidP="00EB0C3D">
      <w:pPr>
        <w:pStyle w:val="Style6"/>
        <w:kinsoku w:val="0"/>
        <w:autoSpaceDE/>
        <w:autoSpaceDN/>
        <w:adjustRightInd/>
        <w:ind w:left="720" w:right="720" w:hanging="11"/>
        <w:jc w:val="both"/>
        <w:rPr>
          <w:rStyle w:val="CharacterStyle3"/>
          <w:rFonts w:ascii="Verdana" w:hAnsi="Verdana" w:cs="Verdana"/>
          <w:i/>
          <w:iCs/>
          <w:w w:val="105"/>
          <w:lang w:val="es-ES" w:eastAsia="es-ES"/>
        </w:rPr>
      </w:pPr>
      <w:r>
        <w:rPr>
          <w:rStyle w:val="CharacterStyle3"/>
          <w:rFonts w:ascii="Verdana" w:hAnsi="Verdana" w:cs="Verdana"/>
          <w:i/>
          <w:iCs/>
          <w:spacing w:val="1"/>
          <w:w w:val="105"/>
          <w:sz w:val="15"/>
          <w:szCs w:val="15"/>
          <w:lang w:val="es-ES" w:eastAsia="es-ES"/>
        </w:rPr>
        <w:t xml:space="preserve">Autorizar a la Administración proceder a exhibir el listado públicamente en la Sede </w:t>
      </w:r>
      <w:r w:rsidR="00EB0C3D">
        <w:rPr>
          <w:rStyle w:val="CharacterStyle3"/>
          <w:rFonts w:ascii="Verdana" w:hAnsi="Verdana" w:cs="Verdana"/>
          <w:i/>
          <w:iCs/>
          <w:spacing w:val="1"/>
          <w:w w:val="105"/>
          <w:sz w:val="15"/>
          <w:szCs w:val="15"/>
          <w:lang w:val="es-ES" w:eastAsia="es-ES"/>
        </w:rPr>
        <w:t xml:space="preserve"> </w:t>
      </w:r>
      <w:r>
        <w:rPr>
          <w:rStyle w:val="CharacterStyle3"/>
          <w:rFonts w:ascii="Verdana" w:hAnsi="Verdana" w:cs="Verdana"/>
          <w:i/>
          <w:iCs/>
          <w:spacing w:val="1"/>
          <w:w w:val="105"/>
          <w:sz w:val="15"/>
          <w:szCs w:val="15"/>
          <w:lang w:val="es-ES" w:eastAsia="es-ES"/>
        </w:rPr>
        <w:t>Central,</w:t>
      </w:r>
      <w:r w:rsidR="00EB0C3D">
        <w:rPr>
          <w:rStyle w:val="CharacterStyle3"/>
          <w:rFonts w:ascii="Verdana" w:hAnsi="Verdana" w:cs="Verdana"/>
          <w:i/>
          <w:iCs/>
          <w:spacing w:val="1"/>
          <w:w w:val="105"/>
          <w:sz w:val="15"/>
          <w:szCs w:val="15"/>
          <w:lang w:val="es-ES" w:eastAsia="es-ES"/>
        </w:rPr>
        <w:t xml:space="preserve"> </w:t>
      </w:r>
      <w:r>
        <w:rPr>
          <w:rStyle w:val="CharacterStyle3"/>
          <w:rFonts w:ascii="Verdana" w:hAnsi="Verdana" w:cs="Verdana"/>
          <w:i/>
          <w:iCs/>
          <w:spacing w:val="-1"/>
          <w:w w:val="105"/>
          <w:sz w:val="15"/>
          <w:szCs w:val="15"/>
          <w:lang w:val="es-ES" w:eastAsia="es-ES"/>
        </w:rPr>
        <w:t xml:space="preserve">oficinas Regionales y sitio Web de este Consejo y publicar el aviso </w:t>
      </w:r>
      <w:r w:rsidR="00EB0C3D">
        <w:rPr>
          <w:rStyle w:val="CharacterStyle3"/>
          <w:rFonts w:ascii="Verdana" w:hAnsi="Verdana" w:cs="Verdana"/>
          <w:i/>
          <w:iCs/>
          <w:spacing w:val="-1"/>
          <w:w w:val="105"/>
          <w:sz w:val="15"/>
          <w:szCs w:val="15"/>
          <w:lang w:val="es-ES" w:eastAsia="es-ES"/>
        </w:rPr>
        <w:t xml:space="preserve"> </w:t>
      </w:r>
      <w:r>
        <w:rPr>
          <w:rStyle w:val="CharacterStyle3"/>
          <w:rFonts w:ascii="Verdana" w:hAnsi="Verdana" w:cs="Verdana"/>
          <w:i/>
          <w:iCs/>
          <w:spacing w:val="-1"/>
          <w:w w:val="105"/>
          <w:sz w:val="15"/>
          <w:szCs w:val="15"/>
          <w:lang w:val="es-ES" w:eastAsia="es-ES"/>
        </w:rPr>
        <w:t>correspondiente en el Diario</w:t>
      </w:r>
      <w:r w:rsidR="00EB0C3D">
        <w:rPr>
          <w:rStyle w:val="CharacterStyle3"/>
          <w:rFonts w:ascii="Verdana" w:hAnsi="Verdana" w:cs="Verdana"/>
          <w:i/>
          <w:iCs/>
          <w:spacing w:val="-1"/>
          <w:w w:val="105"/>
          <w:sz w:val="15"/>
          <w:szCs w:val="15"/>
          <w:lang w:val="es-ES" w:eastAsia="es-ES"/>
        </w:rPr>
        <w:t xml:space="preserve"> </w:t>
      </w:r>
      <w:r>
        <w:rPr>
          <w:rStyle w:val="CharacterStyle3"/>
          <w:rFonts w:ascii="Verdana" w:hAnsi="Verdana" w:cs="Verdana"/>
          <w:i/>
          <w:iCs/>
          <w:spacing w:val="12"/>
          <w:w w:val="105"/>
          <w:sz w:val="15"/>
          <w:szCs w:val="15"/>
          <w:lang w:val="es-ES" w:eastAsia="es-ES"/>
        </w:rPr>
        <w:t xml:space="preserve">Oficial La Gaceta." </w:t>
      </w:r>
      <w:r>
        <w:rPr>
          <w:rStyle w:val="CharacterStyle3"/>
          <w:rFonts w:ascii="Verdana" w:hAnsi="Verdana" w:cs="Verdana"/>
          <w:i/>
          <w:iCs/>
          <w:spacing w:val="12"/>
          <w:w w:val="105"/>
          <w:lang w:val="es-ES" w:eastAsia="es-ES"/>
        </w:rPr>
        <w:t>(Léanse folios del 8</w:t>
      </w:r>
      <w:r>
        <w:rPr>
          <w:rStyle w:val="CharacterStyle3"/>
          <w:rFonts w:ascii="Verdana" w:hAnsi="Verdana" w:cs="Verdana"/>
          <w:i/>
          <w:iCs/>
          <w:spacing w:val="12"/>
          <w:w w:val="105"/>
          <w:lang w:val="es-ES" w:eastAsia="es-ES"/>
        </w:rPr>
        <w:tab/>
      </w:r>
      <w:r>
        <w:rPr>
          <w:rStyle w:val="CharacterStyle3"/>
          <w:rFonts w:ascii="Verdana" w:hAnsi="Verdana" w:cs="Verdana"/>
          <w:i/>
          <w:iCs/>
          <w:w w:val="105"/>
          <w:lang w:val="es-ES" w:eastAsia="es-ES"/>
        </w:rPr>
        <w:t>al 25</w:t>
      </w:r>
      <w:r w:rsidR="00EB0C3D">
        <w:rPr>
          <w:rStyle w:val="CharacterStyle3"/>
          <w:rFonts w:ascii="Verdana" w:hAnsi="Verdana" w:cs="Verdana"/>
          <w:i/>
          <w:iCs/>
          <w:w w:val="105"/>
          <w:lang w:val="es-ES" w:eastAsia="es-ES"/>
        </w:rPr>
        <w:t xml:space="preserve"> </w:t>
      </w:r>
      <w:r>
        <w:rPr>
          <w:rStyle w:val="CharacterStyle3"/>
          <w:rFonts w:ascii="Verdana" w:hAnsi="Verdana" w:cs="Verdana"/>
          <w:i/>
          <w:iCs/>
          <w:spacing w:val="6"/>
          <w:w w:val="105"/>
          <w:lang w:val="es-ES" w:eastAsia="es-ES"/>
        </w:rPr>
        <w:t>del expediente</w:t>
      </w:r>
      <w:r w:rsidR="00EB0C3D">
        <w:rPr>
          <w:rStyle w:val="CharacterStyle3"/>
          <w:rFonts w:ascii="Verdana" w:hAnsi="Verdana" w:cs="Verdana"/>
          <w:i/>
          <w:iCs/>
          <w:spacing w:val="6"/>
          <w:w w:val="105"/>
          <w:lang w:val="es-ES" w:eastAsia="es-ES"/>
        </w:rPr>
        <w:t xml:space="preserve"> </w:t>
      </w:r>
      <w:r>
        <w:rPr>
          <w:rStyle w:val="CharacterStyle3"/>
          <w:rFonts w:ascii="Verdana" w:hAnsi="Verdana" w:cs="Verdana"/>
          <w:i/>
          <w:iCs/>
          <w:w w:val="105"/>
          <w:lang w:val="es-ES" w:eastAsia="es-ES"/>
        </w:rPr>
        <w:t>administrativo)</w:t>
      </w:r>
    </w:p>
    <w:p w:rsidR="00C9129E" w:rsidRDefault="00C9129E">
      <w:pPr>
        <w:pStyle w:val="Style6"/>
        <w:kinsoku w:val="0"/>
        <w:autoSpaceDE/>
        <w:autoSpaceDN/>
        <w:adjustRightInd/>
        <w:spacing w:before="396"/>
        <w:ind w:left="360"/>
        <w:rPr>
          <w:rStyle w:val="CharacterStyle3"/>
          <w:rFonts w:ascii="Tahoma" w:hAnsi="Tahoma" w:cs="Tahoma"/>
          <w:spacing w:val="14"/>
          <w:lang w:val="es-ES" w:eastAsia="es-ES"/>
        </w:rPr>
      </w:pPr>
      <w:r>
        <w:rPr>
          <w:rStyle w:val="CharacterStyle3"/>
          <w:rFonts w:ascii="Verdana" w:hAnsi="Verdana" w:cs="Verdana"/>
          <w:b/>
          <w:bCs/>
          <w:spacing w:val="14"/>
          <w:w w:val="105"/>
          <w:lang w:val="es-ES" w:eastAsia="es-ES"/>
        </w:rPr>
        <w:t xml:space="preserve">SEGUNDO: </w:t>
      </w:r>
      <w:r>
        <w:rPr>
          <w:rStyle w:val="CharacterStyle3"/>
          <w:rFonts w:ascii="Tahoma" w:hAnsi="Tahoma" w:cs="Tahoma"/>
          <w:spacing w:val="14"/>
          <w:lang w:val="es-ES" w:eastAsia="es-ES"/>
        </w:rPr>
        <w:t>El recurrente en su impugnación indica lo siguiente:</w:t>
      </w:r>
    </w:p>
    <w:p w:rsidR="00C9129E" w:rsidRDefault="00C9129E">
      <w:pPr>
        <w:pStyle w:val="Style6"/>
        <w:kinsoku w:val="0"/>
        <w:autoSpaceDE/>
        <w:autoSpaceDN/>
        <w:adjustRightInd/>
        <w:spacing w:before="288"/>
        <w:ind w:left="360" w:right="432"/>
        <w:jc w:val="both"/>
        <w:rPr>
          <w:rStyle w:val="CharacterStyle3"/>
          <w:rFonts w:ascii="Tahoma" w:hAnsi="Tahoma" w:cs="Tahoma"/>
          <w:spacing w:val="16"/>
          <w:lang w:val="es-ES" w:eastAsia="es-ES"/>
        </w:rPr>
      </w:pPr>
      <w:r>
        <w:rPr>
          <w:rStyle w:val="CharacterStyle3"/>
          <w:rFonts w:ascii="Tahoma" w:hAnsi="Tahoma" w:cs="Tahoma"/>
          <w:spacing w:val="18"/>
          <w:lang w:val="es-ES" w:eastAsia="es-ES"/>
        </w:rPr>
        <w:t xml:space="preserve">a)- Participo como oferente del concurso público promovido por el CTP para </w:t>
      </w:r>
      <w:r>
        <w:rPr>
          <w:rStyle w:val="CharacterStyle3"/>
          <w:rFonts w:ascii="Tahoma" w:hAnsi="Tahoma" w:cs="Tahoma"/>
          <w:spacing w:val="14"/>
          <w:lang w:val="es-ES" w:eastAsia="es-ES"/>
        </w:rPr>
        <w:t xml:space="preserve">el otorgamiento de 1034 concesiones para el servicio de Transporte público </w:t>
      </w:r>
      <w:r>
        <w:rPr>
          <w:rStyle w:val="CharacterStyle3"/>
          <w:rFonts w:ascii="Tahoma" w:hAnsi="Tahoma" w:cs="Tahoma"/>
          <w:spacing w:val="19"/>
          <w:lang w:val="es-ES" w:eastAsia="es-ES"/>
        </w:rPr>
        <w:t xml:space="preserve">modalidad taxi con vehículos adaptados para personas con discapacidad, </w:t>
      </w:r>
      <w:r>
        <w:rPr>
          <w:rStyle w:val="CharacterStyle3"/>
          <w:rFonts w:ascii="Tahoma" w:hAnsi="Tahoma" w:cs="Tahoma"/>
          <w:spacing w:val="16"/>
          <w:lang w:val="es-ES" w:eastAsia="es-ES"/>
        </w:rPr>
        <w:t>c</w:t>
      </w:r>
      <w:r w:rsidR="00B17A12">
        <w:rPr>
          <w:rStyle w:val="CharacterStyle3"/>
          <w:rFonts w:ascii="Tahoma" w:hAnsi="Tahoma" w:cs="Tahoma"/>
          <w:spacing w:val="16"/>
          <w:lang w:val="es-ES" w:eastAsia="es-ES"/>
        </w:rPr>
        <w:t>orrespondiéndole la oferta N.XXX</w:t>
      </w:r>
      <w:r>
        <w:rPr>
          <w:rStyle w:val="CharacterStyle3"/>
          <w:rFonts w:ascii="Tahoma" w:hAnsi="Tahoma" w:cs="Tahoma"/>
          <w:spacing w:val="16"/>
          <w:lang w:val="es-ES" w:eastAsia="es-ES"/>
        </w:rPr>
        <w:t>.</w:t>
      </w:r>
    </w:p>
    <w:p w:rsidR="00B17A12" w:rsidRDefault="00B17A12">
      <w:pPr>
        <w:pStyle w:val="Style6"/>
        <w:kinsoku w:val="0"/>
        <w:autoSpaceDE/>
        <w:autoSpaceDN/>
        <w:adjustRightInd/>
        <w:spacing w:before="288"/>
        <w:ind w:left="360" w:right="432"/>
        <w:jc w:val="both"/>
        <w:rPr>
          <w:rStyle w:val="CharacterStyle3"/>
          <w:rFonts w:ascii="Tahoma" w:hAnsi="Tahoma" w:cs="Tahoma"/>
          <w:spacing w:val="16"/>
          <w:lang w:val="es-ES" w:eastAsia="es-ES"/>
        </w:rPr>
      </w:pPr>
    </w:p>
    <w:p w:rsidR="00B17A12" w:rsidRDefault="00B17A12">
      <w:pPr>
        <w:pStyle w:val="Style6"/>
        <w:kinsoku w:val="0"/>
        <w:autoSpaceDE/>
        <w:autoSpaceDN/>
        <w:adjustRightInd/>
        <w:spacing w:before="288"/>
        <w:ind w:left="360" w:right="432"/>
        <w:jc w:val="both"/>
        <w:rPr>
          <w:rStyle w:val="CharacterStyle3"/>
          <w:rFonts w:ascii="Tahoma" w:hAnsi="Tahoma" w:cs="Tahoma"/>
          <w:spacing w:val="16"/>
          <w:lang w:val="es-ES" w:eastAsia="es-ES"/>
        </w:rPr>
      </w:pPr>
    </w:p>
    <w:p w:rsidR="00B17A12" w:rsidRDefault="00B17A12">
      <w:pPr>
        <w:pStyle w:val="Style6"/>
        <w:kinsoku w:val="0"/>
        <w:autoSpaceDE/>
        <w:autoSpaceDN/>
        <w:adjustRightInd/>
        <w:spacing w:before="288"/>
        <w:ind w:left="360" w:right="432"/>
        <w:jc w:val="both"/>
        <w:rPr>
          <w:rStyle w:val="CharacterStyle3"/>
          <w:rFonts w:ascii="Tahoma" w:hAnsi="Tahoma" w:cs="Tahoma"/>
          <w:spacing w:val="16"/>
          <w:lang w:val="es-ES" w:eastAsia="es-ES"/>
        </w:rPr>
      </w:pPr>
    </w:p>
    <w:p w:rsidR="00C9129E" w:rsidRDefault="00C9129E">
      <w:pPr>
        <w:pStyle w:val="Style8"/>
        <w:numPr>
          <w:ilvl w:val="0"/>
          <w:numId w:val="2"/>
        </w:numPr>
        <w:tabs>
          <w:tab w:val="clear" w:pos="432"/>
          <w:tab w:val="num" w:pos="504"/>
        </w:tabs>
        <w:kinsoku w:val="0"/>
        <w:autoSpaceDE/>
        <w:autoSpaceDN/>
        <w:rPr>
          <w:rFonts w:ascii="Verdana" w:hAnsi="Verdana" w:cs="Verdana"/>
          <w:spacing w:val="3"/>
          <w:sz w:val="20"/>
          <w:szCs w:val="20"/>
          <w:lang w:val="es-ES" w:eastAsia="es-ES"/>
        </w:rPr>
      </w:pPr>
      <w:r>
        <w:rPr>
          <w:rFonts w:ascii="Verdana" w:hAnsi="Verdana" w:cs="Verdana"/>
          <w:spacing w:val="10"/>
          <w:sz w:val="20"/>
          <w:szCs w:val="20"/>
          <w:lang w:val="es-ES" w:eastAsia="es-ES"/>
        </w:rPr>
        <w:t xml:space="preserve">La Dirección Jurídica del CTP mediante oficio DAJ 00973-2011, lo </w:t>
      </w:r>
      <w:r>
        <w:rPr>
          <w:rFonts w:ascii="Verdana" w:hAnsi="Verdana" w:cs="Verdana"/>
          <w:spacing w:val="4"/>
          <w:sz w:val="20"/>
          <w:szCs w:val="20"/>
          <w:lang w:val="es-ES" w:eastAsia="es-ES"/>
        </w:rPr>
        <w:t xml:space="preserve">previno para que aportara certificación de la CCSS así como que prorrogara </w:t>
      </w:r>
      <w:r>
        <w:rPr>
          <w:rFonts w:ascii="Verdana" w:hAnsi="Verdana" w:cs="Verdana"/>
          <w:spacing w:val="3"/>
          <w:sz w:val="20"/>
          <w:szCs w:val="20"/>
          <w:lang w:val="es-ES" w:eastAsia="es-ES"/>
        </w:rPr>
        <w:t>la vigencia de su oferta, lo cual cumplió y consta en el expediente principal.</w:t>
      </w:r>
    </w:p>
    <w:p w:rsidR="00C9129E" w:rsidRDefault="00C9129E">
      <w:pPr>
        <w:pStyle w:val="Style8"/>
        <w:numPr>
          <w:ilvl w:val="0"/>
          <w:numId w:val="2"/>
        </w:numPr>
        <w:tabs>
          <w:tab w:val="clear" w:pos="432"/>
          <w:tab w:val="num" w:pos="504"/>
        </w:tabs>
        <w:kinsoku w:val="0"/>
        <w:autoSpaceDE/>
        <w:autoSpaceDN/>
        <w:rPr>
          <w:rFonts w:ascii="Verdana" w:hAnsi="Verdana" w:cs="Verdana"/>
          <w:spacing w:val="2"/>
          <w:sz w:val="20"/>
          <w:szCs w:val="20"/>
          <w:lang w:val="es-ES" w:eastAsia="es-ES"/>
        </w:rPr>
      </w:pPr>
      <w:r>
        <w:rPr>
          <w:rFonts w:ascii="Verdana" w:hAnsi="Verdana" w:cs="Verdana"/>
          <w:spacing w:val="4"/>
          <w:sz w:val="20"/>
          <w:szCs w:val="20"/>
          <w:lang w:val="es-ES" w:eastAsia="es-ES"/>
        </w:rPr>
        <w:t xml:space="preserve">De conformidad con la calificación emitida por el órgano consultor, se </w:t>
      </w:r>
      <w:r>
        <w:rPr>
          <w:rFonts w:ascii="Verdana" w:hAnsi="Verdana" w:cs="Verdana"/>
          <w:spacing w:val="3"/>
          <w:sz w:val="20"/>
          <w:szCs w:val="20"/>
          <w:lang w:val="es-ES" w:eastAsia="es-ES"/>
        </w:rPr>
        <w:t xml:space="preserve">omitió dar valor establecido en el artículo 8 del decreto, particularmente los </w:t>
      </w:r>
      <w:r>
        <w:rPr>
          <w:rFonts w:ascii="Verdana" w:hAnsi="Verdana" w:cs="Verdana"/>
          <w:spacing w:val="8"/>
          <w:sz w:val="20"/>
          <w:szCs w:val="20"/>
          <w:lang w:val="es-ES" w:eastAsia="es-ES"/>
        </w:rPr>
        <w:t xml:space="preserve">40 puntos de la licencia, ya que tiene más de diez años de tenerla y lo </w:t>
      </w:r>
      <w:r>
        <w:rPr>
          <w:rFonts w:ascii="Verdana" w:hAnsi="Verdana" w:cs="Verdana"/>
          <w:spacing w:val="2"/>
          <w:sz w:val="20"/>
          <w:szCs w:val="20"/>
          <w:lang w:val="es-ES" w:eastAsia="es-ES"/>
        </w:rPr>
        <w:t>demuestra con certificación adjunta.</w:t>
      </w:r>
    </w:p>
    <w:p w:rsidR="00C9129E" w:rsidRDefault="00C9129E">
      <w:pPr>
        <w:pStyle w:val="Style21"/>
        <w:numPr>
          <w:ilvl w:val="0"/>
          <w:numId w:val="2"/>
        </w:numPr>
        <w:tabs>
          <w:tab w:val="clear" w:pos="432"/>
          <w:tab w:val="num" w:pos="504"/>
        </w:tabs>
        <w:kinsoku w:val="0"/>
        <w:autoSpaceDE/>
        <w:autoSpaceDN/>
        <w:adjustRightInd/>
        <w:spacing w:before="72"/>
        <w:rPr>
          <w:rFonts w:ascii="Verdana" w:hAnsi="Verdana" w:cs="Verdana"/>
          <w:spacing w:val="3"/>
          <w:sz w:val="20"/>
          <w:szCs w:val="20"/>
          <w:lang w:val="es-ES" w:eastAsia="es-ES"/>
        </w:rPr>
      </w:pPr>
      <w:r>
        <w:rPr>
          <w:rFonts w:ascii="Verdana" w:hAnsi="Verdana" w:cs="Verdana"/>
          <w:spacing w:val="2"/>
          <w:sz w:val="20"/>
          <w:szCs w:val="20"/>
          <w:lang w:val="es-ES" w:eastAsia="es-ES"/>
        </w:rPr>
        <w:t xml:space="preserve">Respecto al código de conductor y el tiempo de tenerlo, manifiesta que </w:t>
      </w:r>
      <w:r>
        <w:rPr>
          <w:rFonts w:ascii="Verdana" w:hAnsi="Verdana" w:cs="Verdana"/>
          <w:spacing w:val="3"/>
          <w:sz w:val="20"/>
          <w:szCs w:val="20"/>
          <w:lang w:val="es-ES" w:eastAsia="es-ES"/>
        </w:rPr>
        <w:t>tiene el mismo tiempo de la licencia.</w:t>
      </w:r>
    </w:p>
    <w:p w:rsidR="00C9129E" w:rsidRDefault="00C9129E">
      <w:pPr>
        <w:pStyle w:val="Style8"/>
        <w:numPr>
          <w:ilvl w:val="0"/>
          <w:numId w:val="2"/>
        </w:numPr>
        <w:tabs>
          <w:tab w:val="clear" w:pos="432"/>
          <w:tab w:val="num" w:pos="504"/>
        </w:tabs>
        <w:kinsoku w:val="0"/>
        <w:autoSpaceDE/>
        <w:autoSpaceDN/>
        <w:rPr>
          <w:rFonts w:ascii="Verdana" w:hAnsi="Verdana" w:cs="Verdana"/>
          <w:spacing w:val="3"/>
          <w:sz w:val="20"/>
          <w:szCs w:val="20"/>
          <w:lang w:val="es-ES" w:eastAsia="es-ES"/>
        </w:rPr>
      </w:pPr>
      <w:r>
        <w:rPr>
          <w:rFonts w:ascii="Verdana" w:hAnsi="Verdana" w:cs="Verdana"/>
          <w:spacing w:val="11"/>
          <w:sz w:val="20"/>
          <w:szCs w:val="20"/>
          <w:lang w:val="es-ES" w:eastAsia="es-ES"/>
        </w:rPr>
        <w:t xml:space="preserve">Respecto a los 20 puntos de profesionalismo en la prestación del </w:t>
      </w:r>
      <w:r>
        <w:rPr>
          <w:rFonts w:ascii="Verdana" w:hAnsi="Verdana" w:cs="Verdana"/>
          <w:spacing w:val="7"/>
          <w:sz w:val="20"/>
          <w:szCs w:val="20"/>
          <w:lang w:val="es-ES" w:eastAsia="es-ES"/>
        </w:rPr>
        <w:t xml:space="preserve">servicio cuenta con el curso de Educación Vial implícito en la Licencia y el </w:t>
      </w:r>
      <w:r>
        <w:rPr>
          <w:rFonts w:ascii="Verdana" w:hAnsi="Verdana" w:cs="Verdana"/>
          <w:spacing w:val="3"/>
          <w:sz w:val="20"/>
          <w:szCs w:val="20"/>
          <w:lang w:val="es-ES" w:eastAsia="es-ES"/>
        </w:rPr>
        <w:t>de relaciones públicas, por lo que debe obtener los veinte puntos.</w:t>
      </w:r>
    </w:p>
    <w:p w:rsidR="00C9129E" w:rsidRDefault="00C9129E">
      <w:pPr>
        <w:pStyle w:val="Style8"/>
        <w:numPr>
          <w:ilvl w:val="0"/>
          <w:numId w:val="3"/>
        </w:numPr>
        <w:tabs>
          <w:tab w:val="clear" w:pos="288"/>
          <w:tab w:val="num" w:pos="360"/>
        </w:tabs>
        <w:kinsoku w:val="0"/>
        <w:autoSpaceDE/>
        <w:autoSpaceDN/>
        <w:spacing w:before="36"/>
        <w:rPr>
          <w:rFonts w:ascii="Verdana" w:hAnsi="Verdana" w:cs="Verdana"/>
          <w:spacing w:val="3"/>
          <w:sz w:val="20"/>
          <w:szCs w:val="20"/>
          <w:lang w:val="es-ES" w:eastAsia="es-ES"/>
        </w:rPr>
      </w:pPr>
      <w:r>
        <w:rPr>
          <w:rFonts w:ascii="Verdana" w:hAnsi="Verdana" w:cs="Verdana"/>
          <w:spacing w:val="3"/>
          <w:sz w:val="20"/>
          <w:szCs w:val="20"/>
          <w:lang w:val="es-ES" w:eastAsia="es-ES"/>
        </w:rPr>
        <w:t xml:space="preserve">Al no resultar elegible por una errónea calificación se encuentra frente a un acto viciado de nulidad en varios de sus elementos en los términos del </w:t>
      </w:r>
      <w:r>
        <w:rPr>
          <w:rFonts w:ascii="Verdana" w:hAnsi="Verdana" w:cs="Verdana"/>
          <w:spacing w:val="9"/>
          <w:sz w:val="20"/>
          <w:szCs w:val="20"/>
          <w:lang w:val="es-ES" w:eastAsia="es-ES"/>
        </w:rPr>
        <w:t xml:space="preserve">artículo 175 de la Ley General de la Administración Pública, por lo que </w:t>
      </w:r>
      <w:r>
        <w:rPr>
          <w:rFonts w:ascii="Verdana" w:hAnsi="Verdana" w:cs="Verdana"/>
          <w:spacing w:val="11"/>
          <w:sz w:val="20"/>
          <w:szCs w:val="20"/>
          <w:lang w:val="es-ES" w:eastAsia="es-ES"/>
        </w:rPr>
        <w:t xml:space="preserve">solicita se le restituya como oferente y en su efecto se anule el acto. </w:t>
      </w:r>
      <w:r>
        <w:rPr>
          <w:rFonts w:ascii="Verdana" w:hAnsi="Verdana" w:cs="Verdana"/>
          <w:spacing w:val="3"/>
          <w:sz w:val="20"/>
          <w:szCs w:val="20"/>
          <w:lang w:val="es-ES" w:eastAsia="es-ES"/>
        </w:rPr>
        <w:t>(Léanse folios 24 al 25 del expediente administrativo).</w:t>
      </w:r>
    </w:p>
    <w:p w:rsidR="00C9129E" w:rsidRDefault="00C9129E">
      <w:pPr>
        <w:pStyle w:val="Style21"/>
        <w:kinsoku w:val="0"/>
        <w:autoSpaceDE/>
        <w:autoSpaceDN/>
        <w:adjustRightInd/>
        <w:spacing w:before="576"/>
        <w:jc w:val="both"/>
        <w:rPr>
          <w:rFonts w:ascii="Verdana" w:hAnsi="Verdana" w:cs="Verdana"/>
          <w:spacing w:val="2"/>
          <w:sz w:val="20"/>
          <w:szCs w:val="20"/>
          <w:lang w:val="es-ES" w:eastAsia="es-ES"/>
        </w:rPr>
      </w:pPr>
      <w:r>
        <w:rPr>
          <w:rFonts w:ascii="Verdana" w:hAnsi="Verdana" w:cs="Verdana"/>
          <w:b/>
          <w:bCs/>
          <w:spacing w:val="1"/>
          <w:w w:val="105"/>
          <w:sz w:val="20"/>
          <w:szCs w:val="20"/>
          <w:lang w:val="es-ES" w:eastAsia="es-ES"/>
        </w:rPr>
        <w:t xml:space="preserve">TERCERO: </w:t>
      </w:r>
      <w:r>
        <w:rPr>
          <w:rFonts w:ascii="Verdana" w:hAnsi="Verdana" w:cs="Verdana"/>
          <w:spacing w:val="1"/>
          <w:sz w:val="20"/>
          <w:szCs w:val="20"/>
          <w:lang w:val="es-ES" w:eastAsia="es-ES"/>
        </w:rPr>
        <w:t xml:space="preserve">La Junta Directiva del Consejo de Transporte Público determina </w:t>
      </w:r>
      <w:r>
        <w:rPr>
          <w:rFonts w:ascii="Verdana" w:hAnsi="Verdana" w:cs="Verdana"/>
          <w:spacing w:val="12"/>
          <w:sz w:val="20"/>
          <w:szCs w:val="20"/>
          <w:lang w:val="es-ES" w:eastAsia="es-ES"/>
        </w:rPr>
        <w:t xml:space="preserve">rechazar, por jurídicamente improcedente, el recurso de Revocatoria </w:t>
      </w:r>
      <w:r>
        <w:rPr>
          <w:rFonts w:ascii="Verdana" w:hAnsi="Verdana" w:cs="Verdana"/>
          <w:spacing w:val="1"/>
          <w:sz w:val="20"/>
          <w:szCs w:val="20"/>
          <w:lang w:val="es-ES" w:eastAsia="es-ES"/>
        </w:rPr>
        <w:t>presentado, por el oferente S</w:t>
      </w:r>
      <w:r w:rsidR="00B17A12">
        <w:rPr>
          <w:rFonts w:ascii="Verdana" w:hAnsi="Verdana" w:cs="Verdana"/>
          <w:spacing w:val="1"/>
          <w:sz w:val="20"/>
          <w:szCs w:val="20"/>
          <w:lang w:val="es-ES" w:eastAsia="es-ES"/>
        </w:rPr>
        <w:t>.</w:t>
      </w:r>
      <w:r>
        <w:rPr>
          <w:rFonts w:ascii="Verdana" w:hAnsi="Verdana" w:cs="Verdana"/>
          <w:spacing w:val="1"/>
          <w:sz w:val="20"/>
          <w:szCs w:val="20"/>
          <w:lang w:val="es-ES" w:eastAsia="es-ES"/>
        </w:rPr>
        <w:t>V</w:t>
      </w:r>
      <w:r w:rsidR="00B17A12">
        <w:rPr>
          <w:rFonts w:ascii="Verdana" w:hAnsi="Verdana" w:cs="Verdana"/>
          <w:spacing w:val="1"/>
          <w:sz w:val="20"/>
          <w:szCs w:val="20"/>
          <w:lang w:val="es-ES" w:eastAsia="es-ES"/>
        </w:rPr>
        <w:t>.</w:t>
      </w:r>
      <w:r>
        <w:rPr>
          <w:rFonts w:ascii="Verdana" w:hAnsi="Verdana" w:cs="Verdana"/>
          <w:spacing w:val="1"/>
          <w:sz w:val="20"/>
          <w:szCs w:val="20"/>
          <w:lang w:val="es-ES" w:eastAsia="es-ES"/>
        </w:rPr>
        <w:t xml:space="preserve">, mediante Artículo 6.3.15 de la </w:t>
      </w:r>
      <w:r>
        <w:rPr>
          <w:rFonts w:ascii="Verdana" w:hAnsi="Verdana" w:cs="Verdana"/>
          <w:spacing w:val="6"/>
          <w:sz w:val="20"/>
          <w:szCs w:val="20"/>
          <w:lang w:val="es-ES" w:eastAsia="es-ES"/>
        </w:rPr>
        <w:t xml:space="preserve">Sesión Ordinaria 60-2011 del 24 de agosto de 2011 según se transcribe </w:t>
      </w:r>
      <w:r>
        <w:rPr>
          <w:rFonts w:ascii="Verdana" w:hAnsi="Verdana" w:cs="Verdana"/>
          <w:spacing w:val="2"/>
          <w:sz w:val="20"/>
          <w:szCs w:val="20"/>
          <w:lang w:val="es-ES" w:eastAsia="es-ES"/>
        </w:rPr>
        <w:t>parcialmente a continuación:</w:t>
      </w:r>
    </w:p>
    <w:p w:rsidR="00C9129E" w:rsidRDefault="00C9129E">
      <w:pPr>
        <w:pStyle w:val="Style11"/>
        <w:kinsoku w:val="0"/>
        <w:autoSpaceDE/>
        <w:autoSpaceDN/>
        <w:spacing w:before="288" w:line="285" w:lineRule="auto"/>
        <w:ind w:right="432"/>
        <w:rPr>
          <w:rFonts w:ascii="Verdana" w:hAnsi="Verdana" w:cs="Verdana"/>
          <w:spacing w:val="6"/>
          <w:sz w:val="15"/>
          <w:szCs w:val="15"/>
          <w:lang w:val="es-ES" w:eastAsia="es-ES"/>
        </w:rPr>
      </w:pPr>
      <w:r>
        <w:rPr>
          <w:rFonts w:ascii="Tahoma" w:hAnsi="Tahoma" w:cs="Tahoma"/>
          <w:b/>
          <w:bCs/>
          <w:spacing w:val="4"/>
          <w:sz w:val="14"/>
          <w:szCs w:val="14"/>
          <w:lang w:val="es-ES" w:eastAsia="es-ES"/>
        </w:rPr>
        <w:t xml:space="preserve">"TERCERO: </w:t>
      </w:r>
      <w:r>
        <w:rPr>
          <w:rFonts w:ascii="Verdana" w:hAnsi="Verdana" w:cs="Verdana"/>
          <w:spacing w:val="4"/>
          <w:w w:val="110"/>
          <w:sz w:val="15"/>
          <w:szCs w:val="15"/>
          <w:u w:val="single"/>
          <w:lang w:val="es-ES" w:eastAsia="es-ES"/>
        </w:rPr>
        <w:t>Sobre el fondo de la Revocatoria planteada:</w:t>
      </w:r>
      <w:r>
        <w:rPr>
          <w:rFonts w:ascii="Verdana" w:hAnsi="Verdana" w:cs="Verdana"/>
          <w:spacing w:val="4"/>
          <w:sz w:val="15"/>
          <w:szCs w:val="15"/>
          <w:lang w:val="es-ES" w:eastAsia="es-ES"/>
        </w:rPr>
        <w:t xml:space="preserve"> A pesar de haber quedado </w:t>
      </w:r>
      <w:r>
        <w:rPr>
          <w:rFonts w:ascii="Verdana" w:hAnsi="Verdana" w:cs="Verdana"/>
          <w:spacing w:val="10"/>
          <w:sz w:val="15"/>
          <w:szCs w:val="15"/>
          <w:lang w:val="es-ES" w:eastAsia="es-ES"/>
        </w:rPr>
        <w:t xml:space="preserve">claramente acreditada la improcedencia de la gestión planteada por el recurrente, </w:t>
      </w:r>
      <w:r>
        <w:rPr>
          <w:rFonts w:ascii="Verdana" w:hAnsi="Verdana" w:cs="Verdana"/>
          <w:spacing w:val="8"/>
          <w:sz w:val="15"/>
          <w:szCs w:val="15"/>
          <w:lang w:val="es-ES" w:eastAsia="es-ES"/>
        </w:rPr>
        <w:t xml:space="preserve">resulta necesario hacer referencia a los argumentos de la revocatoria planteada por </w:t>
      </w:r>
      <w:r>
        <w:rPr>
          <w:rFonts w:ascii="Verdana" w:hAnsi="Verdana" w:cs="Verdana"/>
          <w:spacing w:val="5"/>
          <w:sz w:val="15"/>
          <w:szCs w:val="15"/>
          <w:lang w:val="es-ES" w:eastAsia="es-ES"/>
        </w:rPr>
        <w:t xml:space="preserve">cuanto los mismos resultan no solamente falaces sino que son resultado de una mala </w:t>
      </w:r>
      <w:r>
        <w:rPr>
          <w:rFonts w:ascii="Verdana" w:hAnsi="Verdana" w:cs="Verdana"/>
          <w:spacing w:val="6"/>
          <w:sz w:val="15"/>
          <w:szCs w:val="15"/>
          <w:lang w:val="es-ES" w:eastAsia="es-ES"/>
        </w:rPr>
        <w:t>aplicación e interpretación del derecho.</w:t>
      </w:r>
    </w:p>
    <w:p w:rsidR="00C9129E" w:rsidRDefault="00C9129E">
      <w:pPr>
        <w:pStyle w:val="Style11"/>
        <w:kinsoku w:val="0"/>
        <w:autoSpaceDE/>
        <w:autoSpaceDN/>
        <w:spacing w:before="288" w:line="290" w:lineRule="auto"/>
        <w:ind w:right="432"/>
        <w:rPr>
          <w:rFonts w:ascii="Verdana" w:hAnsi="Verdana" w:cs="Verdana"/>
          <w:spacing w:val="6"/>
          <w:sz w:val="15"/>
          <w:szCs w:val="15"/>
          <w:lang w:val="es-ES" w:eastAsia="es-ES"/>
        </w:rPr>
      </w:pPr>
      <w:r>
        <w:rPr>
          <w:rFonts w:ascii="Verdana" w:hAnsi="Verdana" w:cs="Verdana"/>
          <w:spacing w:val="6"/>
          <w:sz w:val="15"/>
          <w:szCs w:val="15"/>
          <w:lang w:val="es-ES" w:eastAsia="es-ES"/>
        </w:rPr>
        <w:t xml:space="preserve">Establece la Ley General de la Administración Pública en su Artículo 152 que el acto </w:t>
      </w:r>
      <w:r>
        <w:rPr>
          <w:rFonts w:ascii="Verdana" w:hAnsi="Verdana" w:cs="Verdana"/>
          <w:spacing w:val="8"/>
          <w:sz w:val="15"/>
          <w:szCs w:val="15"/>
          <w:lang w:val="es-ES" w:eastAsia="es-ES"/>
        </w:rPr>
        <w:t xml:space="preserve">administrativo podrá revocarse por razones de oportunidad, conveniencia o mérito, </w:t>
      </w:r>
      <w:r>
        <w:rPr>
          <w:rFonts w:ascii="Verdana" w:hAnsi="Verdana" w:cs="Verdana"/>
          <w:spacing w:val="7"/>
          <w:sz w:val="15"/>
          <w:szCs w:val="15"/>
          <w:lang w:val="es-ES" w:eastAsia="es-ES"/>
        </w:rPr>
        <w:t xml:space="preserve">siempre y cuando haya una grave divergencia entre los efectos del acto y el interés </w:t>
      </w:r>
      <w:r>
        <w:rPr>
          <w:rFonts w:ascii="Verdana" w:hAnsi="Verdana" w:cs="Verdana"/>
          <w:spacing w:val="8"/>
          <w:sz w:val="15"/>
          <w:szCs w:val="15"/>
          <w:lang w:val="es-ES" w:eastAsia="es-ES"/>
        </w:rPr>
        <w:t xml:space="preserve">público; así mismo, podrá fundarse en la aparición de nuevas circunstancias de hecho </w:t>
      </w:r>
      <w:r>
        <w:rPr>
          <w:rFonts w:ascii="Verdana" w:hAnsi="Verdana" w:cs="Verdana"/>
          <w:spacing w:val="6"/>
          <w:sz w:val="15"/>
          <w:szCs w:val="15"/>
          <w:lang w:val="es-ES" w:eastAsia="es-ES"/>
        </w:rPr>
        <w:t>no existentes o no conocidas al momento de dictarse el acto.</w:t>
      </w:r>
    </w:p>
    <w:p w:rsidR="00C9129E" w:rsidRDefault="00C9129E">
      <w:pPr>
        <w:pStyle w:val="Style11"/>
        <w:kinsoku w:val="0"/>
        <w:autoSpaceDE/>
        <w:autoSpaceDN/>
        <w:spacing w:before="216" w:line="290" w:lineRule="auto"/>
        <w:ind w:right="432"/>
        <w:rPr>
          <w:rFonts w:ascii="Verdana" w:hAnsi="Verdana" w:cs="Verdana"/>
          <w:spacing w:val="8"/>
          <w:sz w:val="15"/>
          <w:szCs w:val="15"/>
          <w:lang w:val="es-ES" w:eastAsia="es-ES"/>
        </w:rPr>
      </w:pPr>
      <w:r>
        <w:rPr>
          <w:rFonts w:ascii="Verdana" w:hAnsi="Verdana" w:cs="Verdana"/>
          <w:spacing w:val="11"/>
          <w:sz w:val="15"/>
          <w:szCs w:val="15"/>
          <w:lang w:val="es-ES" w:eastAsia="es-ES"/>
        </w:rPr>
        <w:t xml:space="preserve">En el presente caso pareciera ser que uno de los argumentos esgrimidos por el </w:t>
      </w:r>
      <w:r>
        <w:rPr>
          <w:rFonts w:ascii="Verdana" w:hAnsi="Verdana" w:cs="Verdana"/>
          <w:spacing w:val="8"/>
          <w:sz w:val="15"/>
          <w:szCs w:val="15"/>
          <w:lang w:val="es-ES" w:eastAsia="es-ES"/>
        </w:rPr>
        <w:t xml:space="preserve">gestionante la presunta mala aplicación del Artículo 8 del Decreto Ejecutivo 35448- </w:t>
      </w:r>
      <w:r>
        <w:rPr>
          <w:rFonts w:ascii="Verdana" w:hAnsi="Verdana" w:cs="Verdana"/>
          <w:spacing w:val="13"/>
          <w:sz w:val="15"/>
          <w:szCs w:val="15"/>
          <w:lang w:val="es-ES" w:eastAsia="es-ES"/>
        </w:rPr>
        <w:t xml:space="preserve">MOPT, al no otorgársele la calificación de 100 puntos y no reconocérsele, entre </w:t>
      </w:r>
      <w:r>
        <w:rPr>
          <w:rFonts w:ascii="Verdana" w:hAnsi="Verdana" w:cs="Verdana"/>
          <w:spacing w:val="10"/>
          <w:sz w:val="15"/>
          <w:szCs w:val="15"/>
          <w:lang w:val="es-ES" w:eastAsia="es-ES"/>
        </w:rPr>
        <w:t xml:space="preserve">otros aspectos, los 20 puntos de profesionalismo en la prestación del servicio. De </w:t>
      </w:r>
      <w:r>
        <w:rPr>
          <w:rFonts w:ascii="Verdana" w:hAnsi="Verdana" w:cs="Verdana"/>
          <w:spacing w:val="17"/>
          <w:sz w:val="15"/>
          <w:szCs w:val="15"/>
          <w:lang w:val="es-ES" w:eastAsia="es-ES"/>
        </w:rPr>
        <w:t xml:space="preserve">dicho argumento pareciera derivarse con total claridad que el Abogado del </w:t>
      </w:r>
      <w:r>
        <w:rPr>
          <w:rFonts w:ascii="Verdana" w:hAnsi="Verdana" w:cs="Verdana"/>
          <w:spacing w:val="12"/>
          <w:sz w:val="15"/>
          <w:szCs w:val="15"/>
          <w:lang w:val="es-ES" w:eastAsia="es-ES"/>
        </w:rPr>
        <w:t xml:space="preserve">gestionante pretende desconocer las reformas realizadas al </w:t>
      </w:r>
      <w:r>
        <w:rPr>
          <w:rFonts w:ascii="Verdana" w:hAnsi="Verdana" w:cs="Verdana"/>
          <w:i/>
          <w:iCs/>
          <w:spacing w:val="12"/>
          <w:w w:val="105"/>
          <w:sz w:val="15"/>
          <w:szCs w:val="15"/>
          <w:lang w:val="es-ES" w:eastAsia="es-ES"/>
        </w:rPr>
        <w:t xml:space="preserve">"Reglamento para </w:t>
      </w:r>
      <w:r>
        <w:rPr>
          <w:rFonts w:ascii="Verdana" w:hAnsi="Verdana" w:cs="Verdana"/>
          <w:i/>
          <w:iCs/>
          <w:spacing w:val="-9"/>
          <w:w w:val="105"/>
          <w:sz w:val="15"/>
          <w:szCs w:val="15"/>
          <w:lang w:val="es-ES" w:eastAsia="es-ES"/>
        </w:rPr>
        <w:t xml:space="preserve">Participar en la Licitación Pública Tendiente a Concesionar 1034 Placas para Transporte Público en </w:t>
      </w:r>
      <w:r>
        <w:rPr>
          <w:rFonts w:ascii="Verdana" w:hAnsi="Verdana" w:cs="Verdana"/>
          <w:i/>
          <w:iCs/>
          <w:spacing w:val="-5"/>
          <w:w w:val="105"/>
          <w:sz w:val="15"/>
          <w:szCs w:val="15"/>
          <w:lang w:val="es-ES" w:eastAsia="es-ES"/>
        </w:rPr>
        <w:t xml:space="preserve">Modalidad Taxi, con Vehículos Adaptados para Personas con Discapacidad", </w:t>
      </w:r>
      <w:r>
        <w:rPr>
          <w:rFonts w:ascii="Verdana" w:hAnsi="Verdana" w:cs="Verdana"/>
          <w:spacing w:val="-5"/>
          <w:sz w:val="15"/>
          <w:szCs w:val="15"/>
          <w:lang w:val="es-ES" w:eastAsia="es-ES"/>
        </w:rPr>
        <w:t xml:space="preserve">mediante Decretos </w:t>
      </w:r>
      <w:r>
        <w:rPr>
          <w:rFonts w:ascii="Verdana" w:hAnsi="Verdana" w:cs="Verdana"/>
          <w:spacing w:val="8"/>
          <w:sz w:val="15"/>
          <w:szCs w:val="15"/>
          <w:lang w:val="es-ES" w:eastAsia="es-ES"/>
        </w:rPr>
        <w:t>Ejecutivos 35875-MOPT y 35985-MOPT, los cuales afectaron los Artículos 4, 6 y 8.</w:t>
      </w:r>
    </w:p>
    <w:p w:rsidR="00C9129E" w:rsidRDefault="00C9129E">
      <w:pPr>
        <w:pStyle w:val="Style11"/>
        <w:kinsoku w:val="0"/>
        <w:autoSpaceDE/>
        <w:autoSpaceDN/>
        <w:spacing w:before="288" w:line="280" w:lineRule="auto"/>
        <w:ind w:left="288" w:right="432" w:firstLine="72"/>
        <w:rPr>
          <w:rFonts w:ascii="Verdana" w:hAnsi="Verdana" w:cs="Verdana"/>
          <w:spacing w:val="2"/>
          <w:sz w:val="15"/>
          <w:szCs w:val="15"/>
          <w:lang w:val="es-ES" w:eastAsia="es-ES"/>
        </w:rPr>
      </w:pPr>
      <w:r>
        <w:rPr>
          <w:rFonts w:ascii="Verdana" w:hAnsi="Verdana" w:cs="Verdana"/>
          <w:spacing w:val="14"/>
          <w:sz w:val="15"/>
          <w:szCs w:val="15"/>
          <w:lang w:val="es-ES" w:eastAsia="es-ES"/>
        </w:rPr>
        <w:t xml:space="preserve">Ésta última norma, en su redacción vigente, según la reforma realizada por el </w:t>
      </w:r>
      <w:r>
        <w:rPr>
          <w:rFonts w:ascii="Verdana" w:hAnsi="Verdana" w:cs="Verdana"/>
          <w:spacing w:val="16"/>
          <w:sz w:val="15"/>
          <w:szCs w:val="15"/>
          <w:lang w:val="es-ES" w:eastAsia="es-ES"/>
        </w:rPr>
        <w:t xml:space="preserve">Artículo 17 del Decreto Ejecutivo 35985-MOPT, dispone que las ofertas sean </w:t>
      </w:r>
      <w:r>
        <w:rPr>
          <w:rFonts w:ascii="Verdana" w:hAnsi="Verdana" w:cs="Verdana"/>
          <w:spacing w:val="7"/>
          <w:sz w:val="15"/>
          <w:szCs w:val="15"/>
          <w:lang w:val="es-ES" w:eastAsia="es-ES"/>
        </w:rPr>
        <w:t>evaluadas de conformidad con el Artículo 33 de la Ley N</w:t>
      </w:r>
      <w:r>
        <w:rPr>
          <w:rFonts w:ascii="Arial" w:hAnsi="Arial" w:cs="Arial"/>
          <w:spacing w:val="7"/>
          <w:w w:val="125"/>
          <w:sz w:val="15"/>
          <w:szCs w:val="15"/>
          <w:vertAlign w:val="superscript"/>
          <w:lang w:val="es-ES" w:eastAsia="es-ES"/>
        </w:rPr>
        <w:t>2</w:t>
      </w:r>
      <w:r>
        <w:rPr>
          <w:rFonts w:ascii="Verdana" w:hAnsi="Verdana" w:cs="Verdana"/>
          <w:spacing w:val="7"/>
          <w:sz w:val="15"/>
          <w:szCs w:val="15"/>
          <w:lang w:val="es-ES" w:eastAsia="es-ES"/>
        </w:rPr>
        <w:t xml:space="preserve"> 7969, norma que establece en </w:t>
      </w:r>
      <w:r>
        <w:rPr>
          <w:rFonts w:ascii="Verdana" w:hAnsi="Verdana" w:cs="Verdana"/>
          <w:spacing w:val="2"/>
          <w:sz w:val="15"/>
          <w:szCs w:val="15"/>
          <w:lang w:val="es-ES" w:eastAsia="es-ES"/>
        </w:rPr>
        <w:t>lo literal lo siguiente:</w:t>
      </w:r>
    </w:p>
    <w:p w:rsidR="00C9129E" w:rsidRDefault="00C9129E">
      <w:pPr>
        <w:pStyle w:val="Style21"/>
        <w:kinsoku w:val="0"/>
        <w:autoSpaceDE/>
        <w:autoSpaceDN/>
        <w:adjustRightInd/>
        <w:spacing w:before="216"/>
        <w:ind w:left="360"/>
        <w:rPr>
          <w:rFonts w:ascii="Verdana" w:hAnsi="Verdana" w:cs="Verdana"/>
          <w:i/>
          <w:iCs/>
          <w:spacing w:val="-7"/>
          <w:w w:val="105"/>
          <w:sz w:val="15"/>
          <w:szCs w:val="15"/>
          <w:lang w:val="es-ES" w:eastAsia="es-ES"/>
        </w:rPr>
      </w:pPr>
      <w:r>
        <w:rPr>
          <w:rFonts w:ascii="Verdana" w:hAnsi="Verdana" w:cs="Verdana"/>
          <w:i/>
          <w:iCs/>
          <w:spacing w:val="-7"/>
          <w:w w:val="105"/>
          <w:sz w:val="15"/>
          <w:szCs w:val="15"/>
          <w:lang w:val="es-ES" w:eastAsia="es-ES"/>
        </w:rPr>
        <w:t>"ARTÍCULO 33.- Tabla de evaluación de ofertas</w:t>
      </w:r>
    </w:p>
    <w:p w:rsidR="00C9129E" w:rsidRDefault="00C9129E" w:rsidP="00E73DC9">
      <w:pPr>
        <w:pStyle w:val="Style21"/>
        <w:kinsoku w:val="0"/>
        <w:autoSpaceDE/>
        <w:autoSpaceDN/>
        <w:adjustRightInd/>
        <w:spacing w:before="288" w:after="648"/>
        <w:ind w:left="288"/>
        <w:jc w:val="both"/>
        <w:rPr>
          <w:rFonts w:ascii="Verdana" w:hAnsi="Verdana" w:cs="Verdana"/>
          <w:i/>
          <w:iCs/>
          <w:spacing w:val="-6"/>
          <w:w w:val="105"/>
          <w:sz w:val="15"/>
          <w:szCs w:val="15"/>
          <w:lang w:val="es-ES" w:eastAsia="es-ES"/>
        </w:rPr>
      </w:pPr>
      <w:r>
        <w:rPr>
          <w:rFonts w:ascii="Verdana" w:hAnsi="Verdana" w:cs="Verdana"/>
          <w:i/>
          <w:iCs/>
          <w:spacing w:val="-6"/>
          <w:w w:val="105"/>
          <w:sz w:val="15"/>
          <w:szCs w:val="15"/>
          <w:lang w:val="es-ES" w:eastAsia="es-ES"/>
        </w:rPr>
        <w:t>Todo concurso que se publique deberá contener una tabla de evaluación en la que se califiquen los</w:t>
      </w:r>
    </w:p>
    <w:p w:rsidR="00E73DC9" w:rsidRDefault="00E73DC9">
      <w:pPr>
        <w:pStyle w:val="Style21"/>
        <w:kinsoku w:val="0"/>
        <w:autoSpaceDE/>
        <w:autoSpaceDN/>
        <w:adjustRightInd/>
        <w:ind w:left="72"/>
        <w:rPr>
          <w:rFonts w:ascii="Verdana" w:hAnsi="Verdana" w:cs="Verdana"/>
          <w:i/>
          <w:iCs/>
          <w:spacing w:val="-8"/>
          <w:w w:val="105"/>
          <w:sz w:val="15"/>
          <w:szCs w:val="15"/>
          <w:lang w:val="es-ES" w:eastAsia="es-ES"/>
        </w:rPr>
      </w:pPr>
    </w:p>
    <w:p w:rsidR="00E73DC9" w:rsidRDefault="00E73DC9">
      <w:pPr>
        <w:pStyle w:val="Style21"/>
        <w:kinsoku w:val="0"/>
        <w:autoSpaceDE/>
        <w:autoSpaceDN/>
        <w:adjustRightInd/>
        <w:ind w:left="72"/>
        <w:rPr>
          <w:rFonts w:ascii="Verdana" w:hAnsi="Verdana" w:cs="Verdana"/>
          <w:i/>
          <w:iCs/>
          <w:spacing w:val="-8"/>
          <w:w w:val="105"/>
          <w:sz w:val="15"/>
          <w:szCs w:val="15"/>
          <w:lang w:val="es-ES" w:eastAsia="es-ES"/>
        </w:rPr>
      </w:pPr>
    </w:p>
    <w:p w:rsidR="00E73DC9" w:rsidRDefault="00E73DC9">
      <w:pPr>
        <w:pStyle w:val="Style21"/>
        <w:kinsoku w:val="0"/>
        <w:autoSpaceDE/>
        <w:autoSpaceDN/>
        <w:adjustRightInd/>
        <w:ind w:left="72"/>
        <w:rPr>
          <w:rFonts w:ascii="Verdana" w:hAnsi="Verdana" w:cs="Verdana"/>
          <w:i/>
          <w:iCs/>
          <w:spacing w:val="-8"/>
          <w:w w:val="105"/>
          <w:sz w:val="15"/>
          <w:szCs w:val="15"/>
          <w:lang w:val="es-ES" w:eastAsia="es-ES"/>
        </w:rPr>
      </w:pPr>
    </w:p>
    <w:p w:rsidR="00C9129E" w:rsidRDefault="00C9129E">
      <w:pPr>
        <w:pStyle w:val="Style21"/>
        <w:kinsoku w:val="0"/>
        <w:autoSpaceDE/>
        <w:autoSpaceDN/>
        <w:adjustRightInd/>
        <w:ind w:left="72"/>
        <w:rPr>
          <w:rFonts w:ascii="Verdana" w:hAnsi="Verdana" w:cs="Verdana"/>
          <w:i/>
          <w:iCs/>
          <w:spacing w:val="-8"/>
          <w:w w:val="105"/>
          <w:sz w:val="15"/>
          <w:szCs w:val="15"/>
          <w:lang w:val="es-ES" w:eastAsia="es-ES"/>
        </w:rPr>
      </w:pPr>
      <w:proofErr w:type="gramStart"/>
      <w:r>
        <w:rPr>
          <w:rFonts w:ascii="Verdana" w:hAnsi="Verdana" w:cs="Verdana"/>
          <w:i/>
          <w:iCs/>
          <w:spacing w:val="-8"/>
          <w:w w:val="105"/>
          <w:sz w:val="15"/>
          <w:szCs w:val="15"/>
          <w:lang w:val="es-ES" w:eastAsia="es-ES"/>
        </w:rPr>
        <w:lastRenderedPageBreak/>
        <w:t>siguientes</w:t>
      </w:r>
      <w:proofErr w:type="gramEnd"/>
      <w:r>
        <w:rPr>
          <w:rFonts w:ascii="Verdana" w:hAnsi="Verdana" w:cs="Verdana"/>
          <w:i/>
          <w:iCs/>
          <w:spacing w:val="-8"/>
          <w:w w:val="105"/>
          <w:sz w:val="15"/>
          <w:szCs w:val="15"/>
          <w:lang w:val="es-ES" w:eastAsia="es-ES"/>
        </w:rPr>
        <w:t xml:space="preserve"> puntos:</w:t>
      </w:r>
    </w:p>
    <w:p w:rsidR="00C9129E" w:rsidRDefault="00C9129E" w:rsidP="00E73DC9">
      <w:pPr>
        <w:pStyle w:val="Style7"/>
        <w:numPr>
          <w:ilvl w:val="0"/>
          <w:numId w:val="4"/>
        </w:numPr>
        <w:tabs>
          <w:tab w:val="clear" w:pos="1296"/>
          <w:tab w:val="num" w:pos="1440"/>
        </w:tabs>
        <w:kinsoku w:val="0"/>
        <w:autoSpaceDE/>
        <w:autoSpaceDN/>
        <w:spacing w:line="297" w:lineRule="auto"/>
        <w:ind w:left="426" w:right="332" w:hanging="282"/>
        <w:rPr>
          <w:rStyle w:val="CharacterStyle9"/>
          <w:rFonts w:ascii="Verdana" w:hAnsi="Verdana" w:cs="Verdana"/>
          <w:i/>
          <w:spacing w:val="-5"/>
          <w:w w:val="105"/>
          <w:sz w:val="15"/>
          <w:szCs w:val="15"/>
          <w:u w:val="none"/>
          <w:lang w:val="es-ES" w:eastAsia="es-ES"/>
        </w:rPr>
      </w:pPr>
      <w:r>
        <w:rPr>
          <w:rStyle w:val="CharacterStyle9"/>
          <w:rFonts w:ascii="Verdana" w:hAnsi="Verdana" w:cs="Verdana"/>
          <w:i/>
          <w:spacing w:val="-7"/>
          <w:w w:val="105"/>
          <w:sz w:val="15"/>
          <w:szCs w:val="15"/>
          <w:u w:val="none"/>
          <w:lang w:val="es-ES" w:eastAsia="es-ES"/>
        </w:rPr>
        <w:t xml:space="preserve">Experiencia en la prestación del servicio público: Se acreditará hasta el cuarenta </w:t>
      </w:r>
      <w:r>
        <w:rPr>
          <w:rStyle w:val="CharacterStyle9"/>
          <w:rFonts w:ascii="Verdana" w:hAnsi="Verdana" w:cs="Verdana"/>
          <w:i/>
          <w:spacing w:val="-6"/>
          <w:w w:val="105"/>
          <w:sz w:val="15"/>
          <w:szCs w:val="15"/>
          <w:u w:val="none"/>
          <w:lang w:val="es-ES" w:eastAsia="es-ES"/>
        </w:rPr>
        <w:t xml:space="preserve">por ciento (40%) del total de puntos por evaluar en la siguiente forma: cuatro puntos por cada año </w:t>
      </w:r>
      <w:r>
        <w:rPr>
          <w:rStyle w:val="CharacterStyle9"/>
          <w:rFonts w:ascii="Verdana" w:hAnsi="Verdana" w:cs="Verdana"/>
          <w:i/>
          <w:spacing w:val="-5"/>
          <w:w w:val="105"/>
          <w:sz w:val="15"/>
          <w:szCs w:val="15"/>
          <w:u w:val="none"/>
          <w:lang w:val="es-ES" w:eastAsia="es-ES"/>
        </w:rPr>
        <w:t>de poseer la licencia tipo C-1, para conducir taxi.</w:t>
      </w:r>
    </w:p>
    <w:p w:rsidR="00C9129E" w:rsidRDefault="00C9129E" w:rsidP="00E73DC9">
      <w:pPr>
        <w:pStyle w:val="Style7"/>
        <w:numPr>
          <w:ilvl w:val="0"/>
          <w:numId w:val="4"/>
        </w:numPr>
        <w:tabs>
          <w:tab w:val="clear" w:pos="1296"/>
          <w:tab w:val="num" w:pos="1440"/>
        </w:tabs>
        <w:kinsoku w:val="0"/>
        <w:autoSpaceDE/>
        <w:autoSpaceDN/>
        <w:spacing w:before="288" w:line="285" w:lineRule="auto"/>
        <w:ind w:left="426" w:right="332" w:hanging="282"/>
        <w:rPr>
          <w:rStyle w:val="CharacterStyle9"/>
          <w:rFonts w:ascii="Verdana" w:hAnsi="Verdana" w:cs="Verdana"/>
          <w:i/>
          <w:spacing w:val="-6"/>
          <w:w w:val="105"/>
          <w:sz w:val="15"/>
          <w:szCs w:val="15"/>
          <w:u w:val="none"/>
          <w:lang w:val="es-ES" w:eastAsia="es-ES"/>
        </w:rPr>
      </w:pPr>
      <w:r>
        <w:rPr>
          <w:rStyle w:val="CharacterStyle9"/>
          <w:rFonts w:ascii="Verdana" w:hAnsi="Verdana" w:cs="Verdana"/>
          <w:i/>
          <w:spacing w:val="-12"/>
          <w:w w:val="105"/>
          <w:sz w:val="15"/>
          <w:szCs w:val="15"/>
          <w:u w:val="none"/>
          <w:lang w:val="es-ES" w:eastAsia="es-ES"/>
        </w:rPr>
        <w:t xml:space="preserve">Habitualidad en la prestación del servicio público: Se acreditará hasta un cuarenta por </w:t>
      </w:r>
      <w:r>
        <w:rPr>
          <w:rStyle w:val="CharacterStyle9"/>
          <w:rFonts w:ascii="Verdana" w:hAnsi="Verdana" w:cs="Verdana"/>
          <w:i/>
          <w:spacing w:val="-10"/>
          <w:w w:val="105"/>
          <w:sz w:val="15"/>
          <w:szCs w:val="15"/>
          <w:u w:val="none"/>
          <w:lang w:val="es-ES" w:eastAsia="es-ES"/>
        </w:rPr>
        <w:t xml:space="preserve">ciento (40%) del total de puntos por evaluar, de la siguiente manera: cuatro puntos por cada año que </w:t>
      </w:r>
      <w:r>
        <w:rPr>
          <w:rStyle w:val="CharacterStyle9"/>
          <w:rFonts w:ascii="Verdana" w:hAnsi="Verdana" w:cs="Verdana"/>
          <w:i/>
          <w:spacing w:val="-4"/>
          <w:w w:val="105"/>
          <w:sz w:val="15"/>
          <w:szCs w:val="15"/>
          <w:u w:val="none"/>
          <w:lang w:val="es-ES" w:eastAsia="es-ES"/>
        </w:rPr>
        <w:t xml:space="preserve">aparezca registrado en la Caja Costarricense de Seguro Social, en calidad de empleador o de </w:t>
      </w:r>
      <w:r>
        <w:rPr>
          <w:rStyle w:val="CharacterStyle9"/>
          <w:rFonts w:ascii="Verdana" w:hAnsi="Verdana" w:cs="Verdana"/>
          <w:i/>
          <w:spacing w:val="-1"/>
          <w:w w:val="105"/>
          <w:sz w:val="15"/>
          <w:szCs w:val="15"/>
          <w:u w:val="none"/>
          <w:lang w:val="es-ES" w:eastAsia="es-ES"/>
        </w:rPr>
        <w:t xml:space="preserve">empleado en el servicio público en la modalidad de taxi, o de cotizarte del seguro voluntario. </w:t>
      </w:r>
      <w:r>
        <w:rPr>
          <w:rStyle w:val="CharacterStyle9"/>
          <w:rFonts w:ascii="Verdana" w:hAnsi="Verdana" w:cs="Verdana"/>
          <w:i/>
          <w:spacing w:val="-6"/>
          <w:w w:val="105"/>
          <w:sz w:val="15"/>
          <w:szCs w:val="15"/>
          <w:u w:val="none"/>
          <w:lang w:val="es-ES" w:eastAsia="es-ES"/>
        </w:rPr>
        <w:t>Para lo anterior, se tomarán en cuenta únicamente los últimos diez años.</w:t>
      </w:r>
    </w:p>
    <w:p w:rsidR="00C9129E" w:rsidRDefault="00C9129E" w:rsidP="00E73DC9">
      <w:pPr>
        <w:pStyle w:val="Style7"/>
        <w:numPr>
          <w:ilvl w:val="0"/>
          <w:numId w:val="4"/>
        </w:numPr>
        <w:tabs>
          <w:tab w:val="clear" w:pos="1296"/>
          <w:tab w:val="num" w:pos="1440"/>
        </w:tabs>
        <w:kinsoku w:val="0"/>
        <w:autoSpaceDE/>
        <w:autoSpaceDN/>
        <w:spacing w:before="324" w:line="292" w:lineRule="auto"/>
        <w:ind w:left="426" w:right="332" w:hanging="282"/>
        <w:rPr>
          <w:rStyle w:val="CharacterStyle9"/>
          <w:rFonts w:ascii="Verdana" w:hAnsi="Verdana" w:cs="Verdana"/>
          <w:i/>
          <w:spacing w:val="-6"/>
          <w:w w:val="105"/>
          <w:sz w:val="15"/>
          <w:szCs w:val="15"/>
          <w:u w:val="none"/>
          <w:lang w:val="es-ES" w:eastAsia="es-ES"/>
        </w:rPr>
      </w:pPr>
      <w:r>
        <w:rPr>
          <w:rStyle w:val="CharacterStyle9"/>
          <w:rFonts w:ascii="Verdana" w:hAnsi="Verdana" w:cs="Verdana"/>
          <w:i/>
          <w:spacing w:val="-9"/>
          <w:w w:val="105"/>
          <w:sz w:val="15"/>
          <w:szCs w:val="15"/>
          <w:u w:val="none"/>
          <w:lang w:val="es-ES" w:eastAsia="es-ES"/>
        </w:rPr>
        <w:t xml:space="preserve">Experiencia en la administración de una unidad de servicio público en la modalidad </w:t>
      </w:r>
      <w:r>
        <w:rPr>
          <w:rStyle w:val="CharacterStyle9"/>
          <w:rFonts w:ascii="Verdana" w:hAnsi="Verdana" w:cs="Verdana"/>
          <w:i/>
          <w:spacing w:val="-8"/>
          <w:w w:val="105"/>
          <w:sz w:val="15"/>
          <w:szCs w:val="15"/>
          <w:u w:val="none"/>
          <w:lang w:val="es-ES" w:eastAsia="es-ES"/>
        </w:rPr>
        <w:t xml:space="preserve">de taxi: Se acreditarán hasta diez puntos del total de puntos por evaluar, un punto por cada año, a </w:t>
      </w:r>
      <w:r>
        <w:rPr>
          <w:rStyle w:val="CharacterStyle9"/>
          <w:rFonts w:ascii="Verdana" w:hAnsi="Verdana" w:cs="Verdana"/>
          <w:i/>
          <w:spacing w:val="-9"/>
          <w:w w:val="105"/>
          <w:sz w:val="15"/>
          <w:szCs w:val="15"/>
          <w:u w:val="none"/>
          <w:lang w:val="es-ES" w:eastAsia="es-ES"/>
        </w:rPr>
        <w:t xml:space="preserve">quienes presenten una certificación en la que se indique su inscripción como empresario, de taxis </w:t>
      </w:r>
      <w:r>
        <w:rPr>
          <w:rStyle w:val="CharacterStyle9"/>
          <w:rFonts w:ascii="Verdana" w:hAnsi="Verdana" w:cs="Verdana"/>
          <w:i/>
          <w:spacing w:val="-10"/>
          <w:w w:val="105"/>
          <w:sz w:val="15"/>
          <w:szCs w:val="15"/>
          <w:u w:val="none"/>
          <w:lang w:val="es-ES" w:eastAsia="es-ES"/>
        </w:rPr>
        <w:t xml:space="preserve">(concesionarios) debidamente inscritos en las oficinas respectivas del Ministerio de Obras Públicas y </w:t>
      </w:r>
      <w:r>
        <w:rPr>
          <w:rStyle w:val="CharacterStyle9"/>
          <w:rFonts w:ascii="Verdana" w:hAnsi="Verdana" w:cs="Verdana"/>
          <w:i/>
          <w:spacing w:val="-6"/>
          <w:w w:val="105"/>
          <w:sz w:val="15"/>
          <w:szCs w:val="15"/>
          <w:u w:val="none"/>
          <w:lang w:val="es-ES" w:eastAsia="es-ES"/>
        </w:rPr>
        <w:t>Transportes. Para lo anterior, se tomarán en cuenta únicamente los últimos diez años.</w:t>
      </w:r>
    </w:p>
    <w:p w:rsidR="00C9129E" w:rsidRDefault="00C9129E" w:rsidP="00E73DC9">
      <w:pPr>
        <w:pStyle w:val="Style7"/>
        <w:numPr>
          <w:ilvl w:val="0"/>
          <w:numId w:val="4"/>
        </w:numPr>
        <w:tabs>
          <w:tab w:val="clear" w:pos="1296"/>
          <w:tab w:val="num" w:pos="1440"/>
        </w:tabs>
        <w:kinsoku w:val="0"/>
        <w:autoSpaceDE/>
        <w:autoSpaceDN/>
        <w:spacing w:line="283" w:lineRule="auto"/>
        <w:ind w:left="426" w:right="332" w:hanging="282"/>
        <w:rPr>
          <w:rStyle w:val="CharacterStyle9"/>
          <w:rFonts w:ascii="Verdana" w:hAnsi="Verdana" w:cs="Verdana"/>
          <w:i/>
          <w:spacing w:val="-6"/>
          <w:w w:val="105"/>
          <w:sz w:val="15"/>
          <w:szCs w:val="15"/>
          <w:u w:val="none"/>
          <w:lang w:val="es-ES" w:eastAsia="es-ES"/>
        </w:rPr>
      </w:pPr>
      <w:r>
        <w:rPr>
          <w:rStyle w:val="CharacterStyle9"/>
          <w:rFonts w:ascii="Verdana" w:hAnsi="Verdana" w:cs="Verdana"/>
          <w:i/>
          <w:spacing w:val="-7"/>
          <w:w w:val="105"/>
          <w:sz w:val="15"/>
          <w:szCs w:val="15"/>
          <w:u w:val="none"/>
          <w:lang w:val="es-ES" w:eastAsia="es-ES"/>
        </w:rPr>
        <w:t xml:space="preserve">Profesionalismo en la prestación del servicio: Se acreditarán diez puntos del total </w:t>
      </w:r>
      <w:r>
        <w:rPr>
          <w:rStyle w:val="CharacterStyle9"/>
          <w:rFonts w:ascii="Verdana" w:hAnsi="Verdana" w:cs="Verdana"/>
          <w:i/>
          <w:spacing w:val="-6"/>
          <w:w w:val="105"/>
          <w:sz w:val="15"/>
          <w:szCs w:val="15"/>
          <w:u w:val="none"/>
          <w:lang w:val="es-ES" w:eastAsia="es-ES"/>
        </w:rPr>
        <w:t xml:space="preserve">de puntos por evaluar, a quienes demuestren, mediante una certificación del Consejo de Seguridad </w:t>
      </w:r>
      <w:r>
        <w:rPr>
          <w:rStyle w:val="CharacterStyle9"/>
          <w:rFonts w:ascii="Verdana" w:hAnsi="Verdana" w:cs="Verdana"/>
          <w:i/>
          <w:spacing w:val="-4"/>
          <w:w w:val="105"/>
          <w:sz w:val="15"/>
          <w:szCs w:val="15"/>
          <w:u w:val="none"/>
          <w:lang w:val="es-ES" w:eastAsia="es-ES"/>
        </w:rPr>
        <w:t xml:space="preserve">Vial y otra de la instancia que reciba denuncias de los usuarios, que no han incurrido en faltas </w:t>
      </w:r>
      <w:r>
        <w:rPr>
          <w:rStyle w:val="CharacterStyle9"/>
          <w:rFonts w:ascii="Verdana" w:hAnsi="Verdana" w:cs="Verdana"/>
          <w:i/>
          <w:spacing w:val="-9"/>
          <w:w w:val="105"/>
          <w:sz w:val="15"/>
          <w:szCs w:val="15"/>
          <w:u w:val="none"/>
          <w:lang w:val="es-ES" w:eastAsia="es-ES"/>
        </w:rPr>
        <w:t xml:space="preserve">mientras prestaban el servicio público de taxi. Para lo anterior, se tomarán en cuenta únicamente los </w:t>
      </w:r>
      <w:r>
        <w:rPr>
          <w:rStyle w:val="CharacterStyle9"/>
          <w:rFonts w:ascii="Verdana" w:hAnsi="Verdana" w:cs="Verdana"/>
          <w:i/>
          <w:spacing w:val="-8"/>
          <w:w w:val="105"/>
          <w:sz w:val="15"/>
          <w:szCs w:val="15"/>
          <w:u w:val="none"/>
          <w:lang w:val="es-ES" w:eastAsia="es-ES"/>
        </w:rPr>
        <w:t xml:space="preserve">últimos cinco años. Los incisos anteriores se aplicarán sin detrimento de los requisitos que la presente </w:t>
      </w:r>
      <w:r>
        <w:rPr>
          <w:rStyle w:val="CharacterStyle9"/>
          <w:rFonts w:ascii="Verdana" w:hAnsi="Verdana" w:cs="Verdana"/>
          <w:i/>
          <w:spacing w:val="-5"/>
          <w:w w:val="105"/>
          <w:sz w:val="15"/>
          <w:szCs w:val="15"/>
          <w:u w:val="none"/>
          <w:lang w:val="es-ES" w:eastAsia="es-ES"/>
        </w:rPr>
        <w:t xml:space="preserve">ley u otras establezcan como obligatorios para la operación de un servicio público en la modalidad </w:t>
      </w:r>
      <w:r>
        <w:rPr>
          <w:rStyle w:val="CharacterStyle9"/>
          <w:rFonts w:ascii="Verdana" w:hAnsi="Verdana" w:cs="Verdana"/>
          <w:i/>
          <w:spacing w:val="-6"/>
          <w:w w:val="105"/>
          <w:sz w:val="15"/>
          <w:szCs w:val="15"/>
          <w:u w:val="none"/>
          <w:lang w:val="es-ES" w:eastAsia="es-ES"/>
        </w:rPr>
        <w:t>de taxi".</w:t>
      </w:r>
    </w:p>
    <w:p w:rsidR="00C9129E" w:rsidRDefault="00C9129E" w:rsidP="00E73DC9">
      <w:pPr>
        <w:pStyle w:val="Style21"/>
        <w:kinsoku w:val="0"/>
        <w:autoSpaceDE/>
        <w:autoSpaceDN/>
        <w:adjustRightInd/>
        <w:spacing w:before="216" w:line="285" w:lineRule="auto"/>
        <w:ind w:left="426" w:right="332"/>
        <w:jc w:val="both"/>
        <w:rPr>
          <w:rFonts w:ascii="Tahoma" w:hAnsi="Tahoma" w:cs="Tahoma"/>
          <w:spacing w:val="15"/>
          <w:sz w:val="15"/>
          <w:szCs w:val="15"/>
          <w:lang w:val="es-ES" w:eastAsia="es-ES"/>
        </w:rPr>
      </w:pPr>
      <w:r>
        <w:rPr>
          <w:rFonts w:ascii="Tahoma" w:hAnsi="Tahoma" w:cs="Tahoma"/>
          <w:spacing w:val="16"/>
          <w:sz w:val="15"/>
          <w:szCs w:val="15"/>
          <w:lang w:val="es-ES" w:eastAsia="es-ES"/>
        </w:rPr>
        <w:t xml:space="preserve">Ahora bien, la anterior norma debe ser interpretada y aplicada en observancia con lo </w:t>
      </w:r>
      <w:r>
        <w:rPr>
          <w:rFonts w:ascii="Tahoma" w:hAnsi="Tahoma" w:cs="Tahoma"/>
          <w:spacing w:val="18"/>
          <w:sz w:val="15"/>
          <w:szCs w:val="15"/>
          <w:lang w:val="es-ES" w:eastAsia="es-ES"/>
        </w:rPr>
        <w:t xml:space="preserve">dispuesto por la Sala Constitucional por resoluciones 1999-09530, de las nueve horas </w:t>
      </w:r>
      <w:r>
        <w:rPr>
          <w:rFonts w:ascii="Tahoma" w:hAnsi="Tahoma" w:cs="Tahoma"/>
          <w:spacing w:val="17"/>
          <w:sz w:val="15"/>
          <w:szCs w:val="15"/>
          <w:lang w:val="es-ES" w:eastAsia="es-ES"/>
        </w:rPr>
        <w:t>con quince minutos del tres de diciembre de mil novecientos noventa y nueve y 2001</w:t>
      </w:r>
      <w:r>
        <w:rPr>
          <w:rFonts w:ascii="Tahoma" w:hAnsi="Tahoma" w:cs="Tahoma"/>
          <w:spacing w:val="17"/>
          <w:sz w:val="15"/>
          <w:szCs w:val="15"/>
          <w:lang w:val="es-ES" w:eastAsia="es-ES"/>
        </w:rPr>
        <w:softHyphen/>
      </w:r>
      <w:r>
        <w:rPr>
          <w:rFonts w:ascii="Tahoma" w:hAnsi="Tahoma" w:cs="Tahoma"/>
          <w:spacing w:val="19"/>
          <w:sz w:val="15"/>
          <w:szCs w:val="15"/>
          <w:lang w:val="es-ES" w:eastAsia="es-ES"/>
        </w:rPr>
        <w:t xml:space="preserve">01054 de las dieciséis horas con cuarenta y cinco minutos del seis de febrero del dos </w:t>
      </w:r>
      <w:r>
        <w:rPr>
          <w:rFonts w:ascii="Tahoma" w:hAnsi="Tahoma" w:cs="Tahoma"/>
          <w:spacing w:val="15"/>
          <w:sz w:val="15"/>
          <w:szCs w:val="15"/>
          <w:lang w:val="es-ES" w:eastAsia="es-ES"/>
        </w:rPr>
        <w:t>mil uno, mediante las cuales se dispuso, en lo que interesa que:</w:t>
      </w:r>
    </w:p>
    <w:p w:rsidR="00C9129E" w:rsidRDefault="00C9129E" w:rsidP="00E73DC9">
      <w:pPr>
        <w:pStyle w:val="Style7"/>
        <w:kinsoku w:val="0"/>
        <w:autoSpaceDE/>
        <w:autoSpaceDN/>
        <w:ind w:left="426" w:right="332" w:firstLine="0"/>
        <w:rPr>
          <w:rStyle w:val="CharacterStyle9"/>
          <w:rFonts w:ascii="Tahoma" w:hAnsi="Tahoma" w:cs="Tahoma"/>
          <w:iCs w:val="0"/>
          <w:spacing w:val="10"/>
          <w:sz w:val="15"/>
          <w:szCs w:val="15"/>
          <w:u w:val="none"/>
          <w:lang w:val="es-ES" w:eastAsia="es-ES"/>
        </w:rPr>
      </w:pPr>
      <w:r>
        <w:rPr>
          <w:rStyle w:val="CharacterStyle9"/>
          <w:rFonts w:ascii="Verdana" w:hAnsi="Verdana" w:cs="Verdana"/>
          <w:i/>
          <w:w w:val="105"/>
          <w:sz w:val="15"/>
          <w:szCs w:val="15"/>
          <w:u w:val="none"/>
          <w:lang w:val="es-ES" w:eastAsia="es-ES"/>
        </w:rPr>
        <w:t xml:space="preserve">.. </w:t>
      </w:r>
      <w:proofErr w:type="gramStart"/>
      <w:r>
        <w:rPr>
          <w:rStyle w:val="CharacterStyle9"/>
          <w:rFonts w:ascii="Verdana" w:hAnsi="Verdana" w:cs="Verdana"/>
          <w:i/>
          <w:w w:val="105"/>
          <w:sz w:val="15"/>
          <w:szCs w:val="15"/>
          <w:u w:val="none"/>
          <w:lang w:val="es-ES" w:eastAsia="es-ES"/>
        </w:rPr>
        <w:t>en</w:t>
      </w:r>
      <w:proofErr w:type="gramEnd"/>
      <w:r>
        <w:rPr>
          <w:rStyle w:val="CharacterStyle9"/>
          <w:rFonts w:ascii="Verdana" w:hAnsi="Verdana" w:cs="Verdana"/>
          <w:i/>
          <w:w w:val="105"/>
          <w:sz w:val="15"/>
          <w:szCs w:val="15"/>
          <w:u w:val="none"/>
          <w:lang w:val="es-ES" w:eastAsia="es-ES"/>
        </w:rPr>
        <w:t xml:space="preserve"> el caso concreto, la Sala encuentra que existe en el artículo 33 consultado, una </w:t>
      </w:r>
      <w:r>
        <w:rPr>
          <w:rStyle w:val="CharacterStyle9"/>
          <w:rFonts w:ascii="Verdana" w:hAnsi="Verdana" w:cs="Verdana"/>
          <w:i/>
          <w:spacing w:val="-8"/>
          <w:w w:val="105"/>
          <w:sz w:val="15"/>
          <w:szCs w:val="15"/>
          <w:u w:val="none"/>
          <w:lang w:val="es-ES" w:eastAsia="es-ES"/>
        </w:rPr>
        <w:t xml:space="preserve">contradicción entre los fines del proyecto de ley y lo que la norma pretende resolver. En la exposición </w:t>
      </w:r>
      <w:r>
        <w:rPr>
          <w:rStyle w:val="CharacterStyle9"/>
          <w:rFonts w:ascii="Verdana" w:hAnsi="Verdana" w:cs="Verdana"/>
          <w:i/>
          <w:spacing w:val="-6"/>
          <w:w w:val="105"/>
          <w:sz w:val="15"/>
          <w:szCs w:val="15"/>
          <w:u w:val="none"/>
          <w:lang w:val="es-ES" w:eastAsia="es-ES"/>
        </w:rPr>
        <w:t xml:space="preserve">de motivos del proyecto de ley, se lee nítidamente que es su propósito fundamental, resolver el problema existente en el campo del servicio público de transporte remunerado de personas en vehículos modalidad taxi, para regularizar la situación de los concesionarios actuales, la de los </w:t>
      </w:r>
      <w:r>
        <w:rPr>
          <w:rStyle w:val="CharacterStyle9"/>
          <w:rFonts w:ascii="Verdana" w:hAnsi="Verdana" w:cs="Verdana"/>
          <w:i/>
          <w:spacing w:val="-2"/>
          <w:w w:val="105"/>
          <w:sz w:val="15"/>
          <w:szCs w:val="15"/>
          <w:u w:val="none"/>
          <w:lang w:val="es-ES" w:eastAsia="es-ES"/>
        </w:rPr>
        <w:t xml:space="preserve">permisionarios y la de los llamados "taxistas piratas". Desde esta perspectiva, </w:t>
      </w:r>
      <w:r>
        <w:rPr>
          <w:rStyle w:val="CharacterStyle9"/>
          <w:rFonts w:ascii="Verdana" w:hAnsi="Verdana" w:cs="Verdana"/>
          <w:i/>
          <w:spacing w:val="-2"/>
          <w:w w:val="110"/>
          <w:lang w:val="es-ES" w:eastAsia="es-ES"/>
        </w:rPr>
        <w:t xml:space="preserve">tiene sentido el </w:t>
      </w:r>
      <w:r>
        <w:rPr>
          <w:rStyle w:val="CharacterStyle9"/>
          <w:rFonts w:ascii="Verdana" w:hAnsi="Verdana" w:cs="Verdana"/>
          <w:i/>
          <w:spacing w:val="-4"/>
          <w:w w:val="110"/>
          <w:lang w:val="es-ES" w:eastAsia="es-ES"/>
        </w:rPr>
        <w:t xml:space="preserve">que la norma al entrar en vigencia, contenga un método de evaluación que tome en cuenta la  </w:t>
      </w:r>
      <w:r>
        <w:rPr>
          <w:rStyle w:val="CharacterStyle9"/>
          <w:rFonts w:ascii="Verdana" w:hAnsi="Verdana" w:cs="Verdana"/>
          <w:i/>
          <w:spacing w:val="5"/>
          <w:w w:val="110"/>
          <w:lang w:val="es-ES" w:eastAsia="es-ES"/>
        </w:rPr>
        <w:t xml:space="preserve">experiencia operacional, los años de servicio (continuidad en la prestación del servicio)  </w:t>
      </w:r>
      <w:r>
        <w:rPr>
          <w:rStyle w:val="CharacterStyle9"/>
          <w:rFonts w:ascii="Verdana" w:hAnsi="Verdana" w:cs="Verdana"/>
          <w:i/>
          <w:spacing w:val="-4"/>
          <w:w w:val="110"/>
          <w:lang w:val="es-ES" w:eastAsia="es-ES"/>
        </w:rPr>
        <w:t xml:space="preserve">y la condición anterior (concesionario o permisionario), para concederle una prioridad a quien  </w:t>
      </w:r>
      <w:r>
        <w:rPr>
          <w:rStyle w:val="CharacterStyle9"/>
          <w:rFonts w:ascii="Verdana" w:hAnsi="Verdana" w:cs="Verdana"/>
          <w:i/>
          <w:spacing w:val="-3"/>
          <w:w w:val="110"/>
          <w:lang w:val="es-ES" w:eastAsia="es-ES"/>
        </w:rPr>
        <w:t xml:space="preserve">cumpliendo todos los requisitos del concurso, pueda demostrar que el ser taxista, </w:t>
      </w:r>
      <w:r>
        <w:rPr>
          <w:rStyle w:val="CharacterStyle9"/>
          <w:rFonts w:ascii="Verdana" w:hAnsi="Verdana" w:cs="Verdana"/>
          <w:b/>
          <w:bCs/>
          <w:i/>
          <w:spacing w:val="-3"/>
          <w:w w:val="105"/>
          <w:lang w:val="es-ES" w:eastAsia="es-ES"/>
        </w:rPr>
        <w:t xml:space="preserve">es su modo </w:t>
      </w:r>
      <w:r>
        <w:rPr>
          <w:rStyle w:val="CharacterStyle9"/>
          <w:rFonts w:ascii="Verdana" w:hAnsi="Verdana" w:cs="Verdana"/>
          <w:b/>
          <w:bCs/>
          <w:i/>
          <w:spacing w:val="-1"/>
          <w:w w:val="105"/>
          <w:lang w:val="es-ES" w:eastAsia="es-ES"/>
        </w:rPr>
        <w:t xml:space="preserve">habitual de vida, </w:t>
      </w:r>
      <w:r>
        <w:rPr>
          <w:rStyle w:val="CharacterStyle9"/>
          <w:rFonts w:ascii="Verdana" w:hAnsi="Verdana" w:cs="Verdana"/>
          <w:i/>
          <w:spacing w:val="-1"/>
          <w:w w:val="110"/>
          <w:lang w:val="es-ES" w:eastAsia="es-ES"/>
        </w:rPr>
        <w:t xml:space="preserve">lo que no resulta inconstitucional. Pero esta afirmación la hace la Sala, al </w:t>
      </w:r>
      <w:r>
        <w:rPr>
          <w:rStyle w:val="CharacterStyle9"/>
          <w:rFonts w:ascii="Verdana" w:hAnsi="Verdana" w:cs="Verdana"/>
          <w:i/>
          <w:spacing w:val="-6"/>
          <w:w w:val="110"/>
          <w:lang w:val="es-ES" w:eastAsia="es-ES"/>
        </w:rPr>
        <w:t xml:space="preserve">considerar el contenido del artículo 33, como una norma transitoria que resuelve el caso del primer </w:t>
      </w:r>
      <w:r>
        <w:rPr>
          <w:rStyle w:val="CharacterStyle9"/>
          <w:rFonts w:ascii="Verdana" w:hAnsi="Verdana" w:cs="Verdana"/>
          <w:i/>
          <w:spacing w:val="-7"/>
          <w:w w:val="110"/>
          <w:lang w:val="es-ES" w:eastAsia="es-ES"/>
        </w:rPr>
        <w:t xml:space="preserve">concurso público que se realice a partir de la entrada en vigencia de la lev. No ocurre lo mismo si se </w:t>
      </w:r>
      <w:r>
        <w:rPr>
          <w:rStyle w:val="CharacterStyle9"/>
          <w:rFonts w:ascii="Verdana" w:hAnsi="Verdana" w:cs="Verdana"/>
          <w:i/>
          <w:spacing w:val="-4"/>
          <w:w w:val="110"/>
          <w:lang w:val="es-ES" w:eastAsia="es-ES"/>
        </w:rPr>
        <w:t xml:space="preserve">considera que el texto del artículo 33, va a ser una norma permanente que defina la evaluación de </w:t>
      </w:r>
      <w:r>
        <w:rPr>
          <w:rStyle w:val="CharacterStyle9"/>
          <w:rFonts w:ascii="Verdana" w:hAnsi="Verdana" w:cs="Verdana"/>
          <w:i/>
          <w:spacing w:val="-8"/>
          <w:w w:val="110"/>
          <w:lang w:val="es-ES" w:eastAsia="es-ES"/>
        </w:rPr>
        <w:t xml:space="preserve">las ofertas hacia el futuro y para todos los casos. Es decir, el proyecto de ley tiene dos alcances: uno </w:t>
      </w:r>
      <w:r>
        <w:rPr>
          <w:rStyle w:val="CharacterStyle9"/>
          <w:rFonts w:ascii="Verdana" w:hAnsi="Verdana" w:cs="Verdana"/>
          <w:i/>
          <w:spacing w:val="-4"/>
          <w:w w:val="110"/>
          <w:lang w:val="es-ES" w:eastAsia="es-ES"/>
        </w:rPr>
        <w:t xml:space="preserve">inmediato, que es la solución de hecho y de derecho que existe en la actualidad y un segundo, que es dejar vigente una legislación que pueda sostenerse hacia el futuro, en todo lo que tenga que ver </w:t>
      </w:r>
      <w:r>
        <w:rPr>
          <w:rStyle w:val="CharacterStyle9"/>
          <w:rFonts w:ascii="Verdana" w:hAnsi="Verdana" w:cs="Verdana"/>
          <w:i/>
          <w:spacing w:val="-5"/>
          <w:w w:val="110"/>
          <w:lang w:val="es-ES" w:eastAsia="es-ES"/>
        </w:rPr>
        <w:t xml:space="preserve">con esta modalidad de transporte de personas. El artículo 33, tiene sentido para el primer objetivo,  </w:t>
      </w:r>
      <w:r>
        <w:rPr>
          <w:rStyle w:val="CharacterStyle9"/>
          <w:rFonts w:ascii="Verdana" w:hAnsi="Verdana" w:cs="Verdana"/>
          <w:i/>
          <w:spacing w:val="-4"/>
          <w:w w:val="110"/>
          <w:lang w:val="es-ES" w:eastAsia="es-ES"/>
        </w:rPr>
        <w:t xml:space="preserve">pero no así para el segundo. En consecuencia, si el artículo 33 se considera como una norma </w:t>
      </w:r>
      <w:r>
        <w:rPr>
          <w:rStyle w:val="CharacterStyle9"/>
          <w:rFonts w:ascii="Verdana" w:hAnsi="Verdana" w:cs="Verdana"/>
          <w:i/>
          <w:spacing w:val="-2"/>
          <w:w w:val="110"/>
          <w:lang w:val="es-ES" w:eastAsia="es-ES"/>
        </w:rPr>
        <w:t xml:space="preserve">permanente, a juicio de este Tribunal, resulta inconstitucional por contravenir el principio de  </w:t>
      </w:r>
      <w:r>
        <w:rPr>
          <w:rStyle w:val="CharacterStyle9"/>
          <w:rFonts w:ascii="Verdana" w:hAnsi="Verdana" w:cs="Verdana"/>
          <w:i/>
          <w:spacing w:val="-4"/>
          <w:w w:val="110"/>
          <w:lang w:val="es-ES" w:eastAsia="es-ES"/>
        </w:rPr>
        <w:t xml:space="preserve">igualdad v de libre concurrencia, tornando permanentes condiciones cuya única justificación  </w:t>
      </w:r>
      <w:r>
        <w:rPr>
          <w:rStyle w:val="CharacterStyle9"/>
          <w:rFonts w:ascii="Verdana" w:hAnsi="Verdana" w:cs="Verdana"/>
          <w:i/>
          <w:spacing w:val="13"/>
          <w:w w:val="110"/>
          <w:lang w:val="es-ES" w:eastAsia="es-ES"/>
        </w:rPr>
        <w:t>constitucional es solventar situaciones temporales..."(El</w:t>
      </w:r>
      <w:r>
        <w:rPr>
          <w:rStyle w:val="CharacterStyle9"/>
          <w:rFonts w:ascii="Tahoma" w:hAnsi="Tahoma" w:cs="Tahoma"/>
          <w:iCs w:val="0"/>
          <w:spacing w:val="13"/>
          <w:sz w:val="15"/>
          <w:szCs w:val="15"/>
          <w:u w:val="none"/>
          <w:lang w:val="es-ES" w:eastAsia="es-ES"/>
        </w:rPr>
        <w:t xml:space="preserve"> subrayado es nuestro, la </w:t>
      </w:r>
      <w:r>
        <w:rPr>
          <w:rStyle w:val="CharacterStyle9"/>
          <w:rFonts w:ascii="Tahoma" w:hAnsi="Tahoma" w:cs="Tahoma"/>
          <w:iCs w:val="0"/>
          <w:spacing w:val="10"/>
          <w:sz w:val="15"/>
          <w:szCs w:val="15"/>
          <w:u w:val="none"/>
          <w:lang w:val="es-ES" w:eastAsia="es-ES"/>
        </w:rPr>
        <w:t>negrita es del original).</w:t>
      </w:r>
    </w:p>
    <w:p w:rsidR="00C9129E" w:rsidRDefault="00C9129E" w:rsidP="00E73DC9">
      <w:pPr>
        <w:pStyle w:val="Style21"/>
        <w:kinsoku w:val="0"/>
        <w:autoSpaceDE/>
        <w:autoSpaceDN/>
        <w:adjustRightInd/>
        <w:spacing w:before="252" w:after="540" w:line="280" w:lineRule="auto"/>
        <w:ind w:left="426" w:right="332"/>
        <w:jc w:val="both"/>
        <w:rPr>
          <w:rFonts w:ascii="Tahoma" w:hAnsi="Tahoma" w:cs="Tahoma"/>
          <w:spacing w:val="19"/>
          <w:sz w:val="15"/>
          <w:szCs w:val="15"/>
          <w:lang w:val="es-ES" w:eastAsia="es-ES"/>
        </w:rPr>
      </w:pPr>
      <w:r>
        <w:rPr>
          <w:rFonts w:ascii="Tahoma" w:hAnsi="Tahoma" w:cs="Tahoma"/>
          <w:spacing w:val="19"/>
          <w:sz w:val="15"/>
          <w:szCs w:val="15"/>
          <w:lang w:val="es-ES" w:eastAsia="es-ES"/>
        </w:rPr>
        <w:t>En razón de lo anterior y con el propósito de evitar posibles inconstitucionalidades al</w:t>
      </w:r>
      <w:r>
        <w:rPr>
          <w:rFonts w:ascii="Tahoma" w:hAnsi="Tahoma" w:cs="Tahoma"/>
          <w:spacing w:val="19"/>
          <w:sz w:val="15"/>
          <w:szCs w:val="15"/>
          <w:lang w:val="es-ES" w:eastAsia="es-ES"/>
        </w:rPr>
        <w:br/>
      </w:r>
      <w:r>
        <w:rPr>
          <w:rFonts w:ascii="Tahoma" w:hAnsi="Tahoma" w:cs="Tahoma"/>
          <w:spacing w:val="15"/>
          <w:sz w:val="15"/>
          <w:szCs w:val="15"/>
          <w:lang w:val="es-ES" w:eastAsia="es-ES"/>
        </w:rPr>
        <w:t>momento de efectuar la calificación, la misma ha sido realizada acorde con el Derecho de</w:t>
      </w:r>
      <w:r>
        <w:rPr>
          <w:rFonts w:ascii="Tahoma" w:hAnsi="Tahoma" w:cs="Tahoma"/>
          <w:spacing w:val="15"/>
          <w:sz w:val="15"/>
          <w:szCs w:val="15"/>
          <w:lang w:val="es-ES" w:eastAsia="es-ES"/>
        </w:rPr>
        <w:br/>
      </w:r>
      <w:r>
        <w:rPr>
          <w:rFonts w:ascii="Tahoma" w:hAnsi="Tahoma" w:cs="Tahoma"/>
          <w:spacing w:val="19"/>
          <w:sz w:val="15"/>
          <w:szCs w:val="15"/>
          <w:lang w:val="es-ES" w:eastAsia="es-ES"/>
        </w:rPr>
        <w:t>la Constitución y por consiguiente la máxima calificación posible dentro del presente</w:t>
      </w:r>
    </w:p>
    <w:p w:rsidR="00E73DC9" w:rsidRDefault="00E73DC9">
      <w:pPr>
        <w:pStyle w:val="Style9"/>
        <w:kinsoku w:val="0"/>
        <w:autoSpaceDE/>
        <w:autoSpaceDN/>
        <w:spacing w:before="0" w:line="290" w:lineRule="auto"/>
        <w:ind w:left="72"/>
        <w:rPr>
          <w:rFonts w:ascii="Tahoma" w:hAnsi="Tahoma" w:cs="Tahoma"/>
          <w:spacing w:val="17"/>
          <w:sz w:val="15"/>
          <w:szCs w:val="15"/>
          <w:lang w:val="es-ES" w:eastAsia="es-ES"/>
        </w:rPr>
      </w:pPr>
    </w:p>
    <w:p w:rsidR="00E73DC9" w:rsidRDefault="00E73DC9">
      <w:pPr>
        <w:pStyle w:val="Style9"/>
        <w:kinsoku w:val="0"/>
        <w:autoSpaceDE/>
        <w:autoSpaceDN/>
        <w:spacing w:before="0" w:line="290" w:lineRule="auto"/>
        <w:ind w:left="72"/>
        <w:rPr>
          <w:rFonts w:ascii="Tahoma" w:hAnsi="Tahoma" w:cs="Tahoma"/>
          <w:spacing w:val="17"/>
          <w:sz w:val="15"/>
          <w:szCs w:val="15"/>
          <w:lang w:val="es-ES" w:eastAsia="es-ES"/>
        </w:rPr>
      </w:pPr>
    </w:p>
    <w:p w:rsidR="00E73DC9" w:rsidRDefault="00E73DC9">
      <w:pPr>
        <w:pStyle w:val="Style9"/>
        <w:kinsoku w:val="0"/>
        <w:autoSpaceDE/>
        <w:autoSpaceDN/>
        <w:spacing w:before="0" w:line="290" w:lineRule="auto"/>
        <w:ind w:left="72"/>
        <w:rPr>
          <w:rFonts w:ascii="Tahoma" w:hAnsi="Tahoma" w:cs="Tahoma"/>
          <w:spacing w:val="17"/>
          <w:sz w:val="15"/>
          <w:szCs w:val="15"/>
          <w:lang w:val="es-ES" w:eastAsia="es-ES"/>
        </w:rPr>
      </w:pPr>
    </w:p>
    <w:p w:rsidR="00E73DC9" w:rsidRDefault="00E73DC9">
      <w:pPr>
        <w:pStyle w:val="Style9"/>
        <w:kinsoku w:val="0"/>
        <w:autoSpaceDE/>
        <w:autoSpaceDN/>
        <w:spacing w:before="0" w:line="290" w:lineRule="auto"/>
        <w:ind w:left="72"/>
        <w:rPr>
          <w:rFonts w:ascii="Tahoma" w:hAnsi="Tahoma" w:cs="Tahoma"/>
          <w:spacing w:val="17"/>
          <w:sz w:val="15"/>
          <w:szCs w:val="15"/>
          <w:lang w:val="es-ES" w:eastAsia="es-ES"/>
        </w:rPr>
      </w:pPr>
    </w:p>
    <w:p w:rsidR="00C9129E" w:rsidRDefault="00C9129E" w:rsidP="00E73DC9">
      <w:pPr>
        <w:pStyle w:val="Style9"/>
        <w:kinsoku w:val="0"/>
        <w:autoSpaceDE/>
        <w:autoSpaceDN/>
        <w:spacing w:before="0" w:line="290" w:lineRule="auto"/>
        <w:ind w:left="426" w:right="332"/>
        <w:rPr>
          <w:rFonts w:ascii="Tahoma" w:hAnsi="Tahoma" w:cs="Tahoma"/>
          <w:spacing w:val="12"/>
          <w:sz w:val="15"/>
          <w:szCs w:val="15"/>
          <w:lang w:val="es-ES" w:eastAsia="es-ES"/>
        </w:rPr>
      </w:pPr>
      <w:proofErr w:type="gramStart"/>
      <w:r>
        <w:rPr>
          <w:rFonts w:ascii="Tahoma" w:hAnsi="Tahoma" w:cs="Tahoma"/>
          <w:spacing w:val="17"/>
          <w:sz w:val="15"/>
          <w:szCs w:val="15"/>
          <w:lang w:val="es-ES" w:eastAsia="es-ES"/>
        </w:rPr>
        <w:lastRenderedPageBreak/>
        <w:t>concurso</w:t>
      </w:r>
      <w:proofErr w:type="gramEnd"/>
      <w:r>
        <w:rPr>
          <w:rFonts w:ascii="Tahoma" w:hAnsi="Tahoma" w:cs="Tahoma"/>
          <w:spacing w:val="17"/>
          <w:sz w:val="15"/>
          <w:szCs w:val="15"/>
          <w:lang w:val="es-ES" w:eastAsia="es-ES"/>
        </w:rPr>
        <w:t xml:space="preserve"> es de ochenta puntos, pues no resulta posible otorgar los puntos a los que </w:t>
      </w:r>
      <w:r>
        <w:rPr>
          <w:rFonts w:ascii="Tahoma" w:hAnsi="Tahoma" w:cs="Tahoma"/>
          <w:spacing w:val="25"/>
          <w:sz w:val="15"/>
          <w:szCs w:val="15"/>
          <w:lang w:val="es-ES" w:eastAsia="es-ES"/>
        </w:rPr>
        <w:t xml:space="preserve">refieren los incisos c) y d) del Artículo 33 de la Ley 7969, limitándose esta </w:t>
      </w:r>
      <w:r>
        <w:rPr>
          <w:rFonts w:ascii="Tahoma" w:hAnsi="Tahoma" w:cs="Tahoma"/>
          <w:spacing w:val="16"/>
          <w:sz w:val="15"/>
          <w:szCs w:val="15"/>
          <w:lang w:val="es-ES" w:eastAsia="es-ES"/>
        </w:rPr>
        <w:t xml:space="preserve">administración a valorar los </w:t>
      </w:r>
      <w:proofErr w:type="spellStart"/>
      <w:r>
        <w:rPr>
          <w:rFonts w:ascii="Tahoma" w:hAnsi="Tahoma" w:cs="Tahoma"/>
          <w:spacing w:val="16"/>
          <w:sz w:val="15"/>
          <w:szCs w:val="15"/>
          <w:lang w:val="es-ES" w:eastAsia="es-ES"/>
        </w:rPr>
        <w:t>itemes</w:t>
      </w:r>
      <w:proofErr w:type="spellEnd"/>
      <w:r>
        <w:rPr>
          <w:rFonts w:ascii="Tahoma" w:hAnsi="Tahoma" w:cs="Tahoma"/>
          <w:spacing w:val="16"/>
          <w:sz w:val="15"/>
          <w:szCs w:val="15"/>
          <w:lang w:val="es-ES" w:eastAsia="es-ES"/>
        </w:rPr>
        <w:t xml:space="preserve"> contenidos en los incisos a) y b) de la norma de </w:t>
      </w:r>
      <w:r>
        <w:rPr>
          <w:rFonts w:ascii="Tahoma" w:hAnsi="Tahoma" w:cs="Tahoma"/>
          <w:spacing w:val="12"/>
          <w:sz w:val="15"/>
          <w:szCs w:val="15"/>
          <w:lang w:val="es-ES" w:eastAsia="es-ES"/>
        </w:rPr>
        <w:t>referencia.</w:t>
      </w:r>
    </w:p>
    <w:p w:rsidR="00C9129E" w:rsidRDefault="00C9129E" w:rsidP="00E73DC9">
      <w:pPr>
        <w:pStyle w:val="Style10"/>
        <w:kinsoku w:val="0"/>
        <w:autoSpaceDE/>
        <w:autoSpaceDN/>
        <w:spacing w:before="288" w:line="321" w:lineRule="auto"/>
        <w:ind w:left="426" w:right="332"/>
        <w:rPr>
          <w:rFonts w:ascii="Verdana" w:hAnsi="Verdana" w:cs="Verdana"/>
          <w:i/>
          <w:iCs/>
          <w:spacing w:val="-6"/>
          <w:w w:val="105"/>
          <w:sz w:val="15"/>
          <w:szCs w:val="15"/>
          <w:lang w:val="es-ES" w:eastAsia="es-ES"/>
        </w:rPr>
      </w:pPr>
      <w:r>
        <w:rPr>
          <w:rFonts w:ascii="Tahoma" w:hAnsi="Tahoma" w:cs="Tahoma"/>
          <w:spacing w:val="18"/>
          <w:sz w:val="15"/>
          <w:szCs w:val="15"/>
          <w:lang w:val="es-ES" w:eastAsia="es-ES"/>
        </w:rPr>
        <w:t xml:space="preserve">En cuanto a la calificación por habitualidad en la prestación del servicio, la cual se </w:t>
      </w:r>
      <w:r>
        <w:rPr>
          <w:rFonts w:ascii="Tahoma" w:hAnsi="Tahoma" w:cs="Tahoma"/>
          <w:spacing w:val="13"/>
          <w:sz w:val="15"/>
          <w:szCs w:val="15"/>
          <w:lang w:val="es-ES" w:eastAsia="es-ES"/>
        </w:rPr>
        <w:t xml:space="preserve">demuestra según el inciso b) del Artículo 33 mediante documento expedido por la Caja </w:t>
      </w:r>
      <w:r>
        <w:rPr>
          <w:rFonts w:ascii="Tahoma" w:hAnsi="Tahoma" w:cs="Tahoma"/>
          <w:spacing w:val="17"/>
          <w:sz w:val="15"/>
          <w:szCs w:val="15"/>
          <w:lang w:val="es-ES" w:eastAsia="es-ES"/>
        </w:rPr>
        <w:t xml:space="preserve">Costarricense del Seguro Social, debe hacerse la acotación que conforme a lo dispuesto </w:t>
      </w:r>
      <w:r>
        <w:rPr>
          <w:rFonts w:ascii="Tahoma" w:hAnsi="Tahoma" w:cs="Tahoma"/>
          <w:spacing w:val="-3"/>
          <w:sz w:val="15"/>
          <w:szCs w:val="15"/>
          <w:lang w:val="es-ES" w:eastAsia="es-ES"/>
        </w:rPr>
        <w:t xml:space="preserve">en la norma </w:t>
      </w:r>
      <w:r>
        <w:rPr>
          <w:rFonts w:ascii="Verdana" w:hAnsi="Verdana" w:cs="Verdana"/>
          <w:i/>
          <w:iCs/>
          <w:spacing w:val="-3"/>
          <w:w w:val="105"/>
          <w:sz w:val="15"/>
          <w:szCs w:val="15"/>
          <w:lang w:val="es-ES" w:eastAsia="es-ES"/>
        </w:rPr>
        <w:t xml:space="preserve">"Se acreditará hasta un cuarenta por ciento (40%) del total de puntos por evaluar, de </w:t>
      </w:r>
      <w:r>
        <w:rPr>
          <w:rFonts w:ascii="Verdana" w:hAnsi="Verdana" w:cs="Verdana"/>
          <w:i/>
          <w:iCs/>
          <w:spacing w:val="-6"/>
          <w:w w:val="105"/>
          <w:sz w:val="15"/>
          <w:szCs w:val="15"/>
          <w:lang w:val="es-ES" w:eastAsia="es-ES"/>
        </w:rPr>
        <w:t xml:space="preserve">la siguiente manera: cuatro puntos por cada año que aparezca registrado en la Caja Costarricense </w:t>
      </w:r>
      <w:r>
        <w:rPr>
          <w:rFonts w:ascii="Verdana" w:hAnsi="Verdana" w:cs="Verdana"/>
          <w:i/>
          <w:iCs/>
          <w:spacing w:val="-4"/>
          <w:w w:val="105"/>
          <w:sz w:val="15"/>
          <w:szCs w:val="15"/>
          <w:lang w:val="es-ES" w:eastAsia="es-ES"/>
        </w:rPr>
        <w:t xml:space="preserve">de Seguro Social, en calidad de empleador o de empleado en el servicio público en la modalidad </w:t>
      </w:r>
      <w:r>
        <w:rPr>
          <w:rFonts w:ascii="Verdana" w:hAnsi="Verdana" w:cs="Verdana"/>
          <w:i/>
          <w:iCs/>
          <w:spacing w:val="-6"/>
          <w:w w:val="105"/>
          <w:sz w:val="15"/>
          <w:szCs w:val="15"/>
          <w:lang w:val="es-ES" w:eastAsia="es-ES"/>
        </w:rPr>
        <w:t>de taxi, o de cotizante del seguro voluntario".</w:t>
      </w:r>
    </w:p>
    <w:p w:rsidR="00C9129E" w:rsidRDefault="00C9129E" w:rsidP="00E73DC9">
      <w:pPr>
        <w:pStyle w:val="Style10"/>
        <w:kinsoku w:val="0"/>
        <w:autoSpaceDE/>
        <w:autoSpaceDN/>
        <w:ind w:left="426" w:right="332"/>
        <w:rPr>
          <w:rFonts w:ascii="Verdana" w:hAnsi="Verdana" w:cs="Verdana"/>
          <w:i/>
          <w:iCs/>
          <w:spacing w:val="-5"/>
          <w:w w:val="105"/>
          <w:sz w:val="15"/>
          <w:szCs w:val="15"/>
          <w:lang w:val="es-ES" w:eastAsia="es-ES"/>
        </w:rPr>
      </w:pPr>
      <w:r>
        <w:rPr>
          <w:rFonts w:ascii="Tahoma" w:hAnsi="Tahoma" w:cs="Tahoma"/>
          <w:spacing w:val="17"/>
          <w:sz w:val="15"/>
          <w:szCs w:val="15"/>
          <w:lang w:val="es-ES" w:eastAsia="es-ES"/>
        </w:rPr>
        <w:t xml:space="preserve">Para una correcta interpretación de dicho punto resulta necesario definir que es la </w:t>
      </w:r>
      <w:r>
        <w:rPr>
          <w:rFonts w:ascii="Tahoma" w:hAnsi="Tahoma" w:cs="Tahoma"/>
          <w:spacing w:val="19"/>
          <w:sz w:val="15"/>
          <w:szCs w:val="15"/>
          <w:lang w:val="es-ES" w:eastAsia="es-ES"/>
        </w:rPr>
        <w:t xml:space="preserve">habitualidad en la prestación del servicio. El Diccionario de la Real Academia de la </w:t>
      </w:r>
      <w:r>
        <w:rPr>
          <w:rFonts w:ascii="Tahoma" w:hAnsi="Tahoma" w:cs="Tahoma"/>
          <w:spacing w:val="9"/>
          <w:sz w:val="15"/>
          <w:szCs w:val="15"/>
          <w:lang w:val="es-ES" w:eastAsia="es-ES"/>
        </w:rPr>
        <w:t xml:space="preserve">Lengua Española define habitualidad como la </w:t>
      </w:r>
      <w:r>
        <w:rPr>
          <w:rFonts w:ascii="Verdana" w:hAnsi="Verdana" w:cs="Verdana"/>
          <w:i/>
          <w:iCs/>
          <w:spacing w:val="9"/>
          <w:w w:val="105"/>
          <w:sz w:val="15"/>
          <w:szCs w:val="15"/>
          <w:lang w:val="es-ES" w:eastAsia="es-ES"/>
        </w:rPr>
        <w:t xml:space="preserve">"cualidad de habitual", </w:t>
      </w:r>
      <w:r>
        <w:rPr>
          <w:rFonts w:ascii="Tahoma" w:hAnsi="Tahoma" w:cs="Tahoma"/>
          <w:spacing w:val="9"/>
          <w:sz w:val="15"/>
          <w:szCs w:val="15"/>
          <w:lang w:val="es-ES" w:eastAsia="es-ES"/>
        </w:rPr>
        <w:t xml:space="preserve">definiendo a su vez </w:t>
      </w:r>
      <w:r>
        <w:rPr>
          <w:rFonts w:ascii="Tahoma" w:hAnsi="Tahoma" w:cs="Tahoma"/>
          <w:spacing w:val="3"/>
          <w:sz w:val="15"/>
          <w:szCs w:val="15"/>
          <w:lang w:val="es-ES" w:eastAsia="es-ES"/>
        </w:rPr>
        <w:t xml:space="preserve">habitual como algo que </w:t>
      </w:r>
      <w:r>
        <w:rPr>
          <w:rFonts w:ascii="Verdana" w:hAnsi="Verdana" w:cs="Verdana"/>
          <w:i/>
          <w:iCs/>
          <w:spacing w:val="3"/>
          <w:w w:val="105"/>
          <w:sz w:val="15"/>
          <w:szCs w:val="15"/>
          <w:lang w:val="es-ES" w:eastAsia="es-ES"/>
        </w:rPr>
        <w:t xml:space="preserve">"se hace, padece o posee con continuación o por hábito", </w:t>
      </w:r>
      <w:r>
        <w:rPr>
          <w:rFonts w:ascii="Tahoma" w:hAnsi="Tahoma" w:cs="Tahoma"/>
          <w:spacing w:val="3"/>
          <w:sz w:val="15"/>
          <w:szCs w:val="15"/>
          <w:lang w:val="es-ES" w:eastAsia="es-ES"/>
        </w:rPr>
        <w:t xml:space="preserve">siendo una </w:t>
      </w:r>
      <w:r>
        <w:rPr>
          <w:rFonts w:ascii="Tahoma" w:hAnsi="Tahoma" w:cs="Tahoma"/>
          <w:spacing w:val="5"/>
          <w:sz w:val="15"/>
          <w:szCs w:val="15"/>
          <w:lang w:val="es-ES" w:eastAsia="es-ES"/>
        </w:rPr>
        <w:t xml:space="preserve">de las acepciones aceptadas de hábito como el </w:t>
      </w:r>
      <w:r>
        <w:rPr>
          <w:rFonts w:ascii="Verdana" w:hAnsi="Verdana" w:cs="Verdana"/>
          <w:i/>
          <w:iCs/>
          <w:spacing w:val="5"/>
          <w:w w:val="105"/>
          <w:sz w:val="15"/>
          <w:szCs w:val="15"/>
          <w:lang w:val="es-ES" w:eastAsia="es-ES"/>
        </w:rPr>
        <w:t xml:space="preserve">"Modo especial de proceder o conducirse </w:t>
      </w:r>
      <w:r>
        <w:rPr>
          <w:rFonts w:ascii="Verdana" w:hAnsi="Verdana" w:cs="Verdana"/>
          <w:i/>
          <w:iCs/>
          <w:spacing w:val="-5"/>
          <w:w w:val="105"/>
          <w:sz w:val="15"/>
          <w:szCs w:val="15"/>
          <w:lang w:val="es-ES" w:eastAsia="es-ES"/>
        </w:rPr>
        <w:t>adquirido por repetición de actos iguales o semejantes, u originado por tendencias instintivas".</w:t>
      </w:r>
    </w:p>
    <w:p w:rsidR="00C9129E" w:rsidRDefault="00C9129E" w:rsidP="00E73DC9">
      <w:pPr>
        <w:pStyle w:val="Style9"/>
        <w:kinsoku w:val="0"/>
        <w:autoSpaceDE/>
        <w:autoSpaceDN/>
        <w:ind w:left="426" w:right="332"/>
        <w:rPr>
          <w:rFonts w:ascii="Tahoma" w:hAnsi="Tahoma" w:cs="Tahoma"/>
          <w:spacing w:val="13"/>
          <w:sz w:val="15"/>
          <w:szCs w:val="15"/>
          <w:lang w:val="es-ES" w:eastAsia="es-ES"/>
        </w:rPr>
      </w:pPr>
      <w:r>
        <w:rPr>
          <w:rFonts w:ascii="Tahoma" w:hAnsi="Tahoma" w:cs="Tahoma"/>
          <w:spacing w:val="13"/>
          <w:sz w:val="15"/>
          <w:szCs w:val="15"/>
          <w:lang w:val="es-ES" w:eastAsia="es-ES"/>
        </w:rPr>
        <w:t xml:space="preserve">Lo contrario a ello sería lo ocasional que se define como aquello que sobreviene por una </w:t>
      </w:r>
      <w:r>
        <w:rPr>
          <w:rFonts w:ascii="Tahoma" w:hAnsi="Tahoma" w:cs="Tahoma"/>
          <w:spacing w:val="18"/>
          <w:sz w:val="15"/>
          <w:szCs w:val="15"/>
          <w:lang w:val="es-ES" w:eastAsia="es-ES"/>
        </w:rPr>
        <w:t xml:space="preserve">ocasión u accidentalmente. Hecha la anterior conceptualización queda claro de una </w:t>
      </w:r>
      <w:r>
        <w:rPr>
          <w:rFonts w:ascii="Tahoma" w:hAnsi="Tahoma" w:cs="Tahoma"/>
          <w:spacing w:val="17"/>
          <w:sz w:val="15"/>
          <w:szCs w:val="15"/>
          <w:lang w:val="es-ES" w:eastAsia="es-ES"/>
        </w:rPr>
        <w:t xml:space="preserve">correcta interpretación de la norma y en concordancia con el principio de solidaridad </w:t>
      </w:r>
      <w:r>
        <w:rPr>
          <w:rFonts w:ascii="Tahoma" w:hAnsi="Tahoma" w:cs="Tahoma"/>
          <w:spacing w:val="16"/>
          <w:sz w:val="15"/>
          <w:szCs w:val="15"/>
          <w:lang w:val="es-ES" w:eastAsia="es-ES"/>
        </w:rPr>
        <w:t xml:space="preserve">que rige desde nuestra Carta Magna a la Seguridad Social, que la habitualidad en la prestación del servicio público, se acredita por </w:t>
      </w:r>
      <w:r>
        <w:rPr>
          <w:rFonts w:ascii="Verdana" w:hAnsi="Verdana" w:cs="Verdana"/>
          <w:b/>
          <w:bCs/>
          <w:spacing w:val="16"/>
          <w:sz w:val="15"/>
          <w:szCs w:val="15"/>
          <w:lang w:val="es-ES" w:eastAsia="es-ES"/>
        </w:rPr>
        <w:t xml:space="preserve">cada año </w:t>
      </w:r>
      <w:r>
        <w:rPr>
          <w:rFonts w:ascii="Tahoma" w:hAnsi="Tahoma" w:cs="Tahoma"/>
          <w:spacing w:val="16"/>
          <w:sz w:val="15"/>
          <w:szCs w:val="15"/>
          <w:lang w:val="es-ES" w:eastAsia="es-ES"/>
        </w:rPr>
        <w:t xml:space="preserve">que aparezca registrado ante </w:t>
      </w:r>
      <w:r>
        <w:rPr>
          <w:rFonts w:ascii="Tahoma" w:hAnsi="Tahoma" w:cs="Tahoma"/>
          <w:spacing w:val="21"/>
          <w:sz w:val="15"/>
          <w:szCs w:val="15"/>
          <w:lang w:val="es-ES" w:eastAsia="es-ES"/>
        </w:rPr>
        <w:t xml:space="preserve">la CCSS como empleador, empleado del servicio público modalidad taxi o cotizante </w:t>
      </w:r>
      <w:r>
        <w:rPr>
          <w:rFonts w:ascii="Tahoma" w:hAnsi="Tahoma" w:cs="Tahoma"/>
          <w:spacing w:val="16"/>
          <w:sz w:val="15"/>
          <w:szCs w:val="15"/>
          <w:lang w:val="es-ES" w:eastAsia="es-ES"/>
        </w:rPr>
        <w:t xml:space="preserve">del seguro voluntario, </w:t>
      </w:r>
      <w:r>
        <w:rPr>
          <w:rFonts w:ascii="Verdana" w:hAnsi="Verdana" w:cs="Verdana"/>
          <w:b/>
          <w:bCs/>
          <w:spacing w:val="16"/>
          <w:sz w:val="15"/>
          <w:szCs w:val="15"/>
          <w:lang w:val="es-ES" w:eastAsia="es-ES"/>
        </w:rPr>
        <w:t xml:space="preserve">razón por la cual para otorgar el puntaje se deben </w:t>
      </w:r>
      <w:r>
        <w:rPr>
          <w:rFonts w:ascii="Verdana" w:hAnsi="Verdana" w:cs="Verdana"/>
          <w:b/>
          <w:bCs/>
          <w:spacing w:val="11"/>
          <w:sz w:val="15"/>
          <w:szCs w:val="15"/>
          <w:lang w:val="es-ES" w:eastAsia="es-ES"/>
        </w:rPr>
        <w:t xml:space="preserve">contabilizar años completos, </w:t>
      </w:r>
      <w:r>
        <w:rPr>
          <w:rFonts w:ascii="Tahoma" w:hAnsi="Tahoma" w:cs="Tahoma"/>
          <w:spacing w:val="11"/>
          <w:sz w:val="15"/>
          <w:szCs w:val="15"/>
          <w:lang w:val="es-ES" w:eastAsia="es-ES"/>
        </w:rPr>
        <w:t xml:space="preserve">esto es por períodos de doce meses, no siendo válido </w:t>
      </w:r>
      <w:r>
        <w:rPr>
          <w:rFonts w:ascii="Tahoma" w:hAnsi="Tahoma" w:cs="Tahoma"/>
          <w:spacing w:val="16"/>
          <w:sz w:val="15"/>
          <w:szCs w:val="15"/>
          <w:lang w:val="es-ES" w:eastAsia="es-ES"/>
        </w:rPr>
        <w:t xml:space="preserve">fraccionar el puntaje, no sólo por cuanto iría en fraude a lo dispuesto en la ley, sino </w:t>
      </w:r>
      <w:r>
        <w:rPr>
          <w:rFonts w:ascii="Tahoma" w:hAnsi="Tahoma" w:cs="Tahoma"/>
          <w:spacing w:val="27"/>
          <w:sz w:val="15"/>
          <w:szCs w:val="15"/>
          <w:lang w:val="es-ES" w:eastAsia="es-ES"/>
        </w:rPr>
        <w:t xml:space="preserve">además de que ello sería insuficiente para demostrar la habitualidad pues </w:t>
      </w:r>
      <w:r>
        <w:rPr>
          <w:rFonts w:ascii="Tahoma" w:hAnsi="Tahoma" w:cs="Tahoma"/>
          <w:spacing w:val="22"/>
          <w:sz w:val="15"/>
          <w:szCs w:val="15"/>
          <w:lang w:val="es-ES" w:eastAsia="es-ES"/>
        </w:rPr>
        <w:t xml:space="preserve">estaríamos en un caso de ocasionalidad, además de que no existe norma jurídica </w:t>
      </w:r>
      <w:r>
        <w:rPr>
          <w:rFonts w:ascii="Tahoma" w:hAnsi="Tahoma" w:cs="Tahoma"/>
          <w:spacing w:val="21"/>
          <w:sz w:val="15"/>
          <w:szCs w:val="15"/>
          <w:lang w:val="es-ES" w:eastAsia="es-ES"/>
        </w:rPr>
        <w:t xml:space="preserve">que faculte a este Consejo a calificar fracciones en la calificación por lo cual en </w:t>
      </w:r>
      <w:r>
        <w:rPr>
          <w:rFonts w:ascii="Tahoma" w:hAnsi="Tahoma" w:cs="Tahoma"/>
          <w:spacing w:val="13"/>
          <w:sz w:val="15"/>
          <w:szCs w:val="15"/>
          <w:lang w:val="es-ES" w:eastAsia="es-ES"/>
        </w:rPr>
        <w:t>estricto apego al principio de legalidad se tiene como ajustada a derecho la calificación realizada en este rubro. (...)</w:t>
      </w:r>
    </w:p>
    <w:p w:rsidR="00C9129E" w:rsidRDefault="00C9129E" w:rsidP="00E73DC9">
      <w:pPr>
        <w:pStyle w:val="Style9"/>
        <w:kinsoku w:val="0"/>
        <w:autoSpaceDE/>
        <w:autoSpaceDN/>
        <w:spacing w:before="288"/>
        <w:ind w:left="426" w:right="332"/>
        <w:rPr>
          <w:rFonts w:ascii="Tahoma" w:hAnsi="Tahoma" w:cs="Tahoma"/>
          <w:spacing w:val="15"/>
          <w:sz w:val="15"/>
          <w:szCs w:val="15"/>
          <w:lang w:val="es-ES" w:eastAsia="es-ES"/>
        </w:rPr>
      </w:pPr>
      <w:r>
        <w:rPr>
          <w:rFonts w:ascii="Verdana" w:hAnsi="Verdana" w:cs="Verdana"/>
          <w:b/>
          <w:bCs/>
          <w:spacing w:val="19"/>
          <w:sz w:val="15"/>
          <w:szCs w:val="15"/>
          <w:lang w:val="es-ES" w:eastAsia="es-ES"/>
        </w:rPr>
        <w:t xml:space="preserve">CUARTO: </w:t>
      </w:r>
      <w:r>
        <w:rPr>
          <w:rFonts w:ascii="Tahoma" w:hAnsi="Tahoma" w:cs="Tahoma"/>
          <w:spacing w:val="19"/>
          <w:sz w:val="14"/>
          <w:szCs w:val="14"/>
          <w:u w:val="single"/>
          <w:lang w:val="es-ES" w:eastAsia="es-ES"/>
        </w:rPr>
        <w:t>Sobre nulidad planteada:</w:t>
      </w:r>
      <w:r>
        <w:rPr>
          <w:rFonts w:ascii="Tahoma" w:hAnsi="Tahoma" w:cs="Tahoma"/>
          <w:spacing w:val="19"/>
          <w:sz w:val="15"/>
          <w:szCs w:val="15"/>
          <w:lang w:val="es-ES" w:eastAsia="es-ES"/>
        </w:rPr>
        <w:t xml:space="preserve"> En virtud de los artículos 128 y 158 en relación </w:t>
      </w:r>
      <w:r>
        <w:rPr>
          <w:rFonts w:ascii="Tahoma" w:hAnsi="Tahoma" w:cs="Tahoma"/>
          <w:spacing w:val="22"/>
          <w:sz w:val="15"/>
          <w:szCs w:val="15"/>
          <w:lang w:val="es-ES" w:eastAsia="es-ES"/>
        </w:rPr>
        <w:t xml:space="preserve">con los numerales 165 y 168 de la Ley General de la Administración Pública, es </w:t>
      </w:r>
      <w:r>
        <w:rPr>
          <w:rFonts w:ascii="Tahoma" w:hAnsi="Tahoma" w:cs="Tahoma"/>
          <w:spacing w:val="16"/>
          <w:sz w:val="15"/>
          <w:szCs w:val="15"/>
          <w:lang w:val="es-ES" w:eastAsia="es-ES"/>
        </w:rPr>
        <w:t xml:space="preserve">imperativo para la Administración Pública velar porque sus actos administrativos sean </w:t>
      </w:r>
      <w:r>
        <w:rPr>
          <w:rFonts w:ascii="Tahoma" w:hAnsi="Tahoma" w:cs="Tahoma"/>
          <w:spacing w:val="20"/>
          <w:sz w:val="15"/>
          <w:szCs w:val="15"/>
          <w:lang w:val="es-ES" w:eastAsia="es-ES"/>
        </w:rPr>
        <w:t xml:space="preserve">válidos y ajustados con el ordenamiento jurídico vigente. De esta manera, y a fin de </w:t>
      </w:r>
      <w:r>
        <w:rPr>
          <w:rFonts w:ascii="Tahoma" w:hAnsi="Tahoma" w:cs="Tahoma"/>
          <w:spacing w:val="15"/>
          <w:sz w:val="15"/>
          <w:szCs w:val="15"/>
          <w:lang w:val="es-ES" w:eastAsia="es-ES"/>
        </w:rPr>
        <w:t>no desvirtuar la desconcentración en grado máximo que opera a favor del Consejo de Transporte Público, corresponde en este caso conocer y resolver acerca de la acción de nulidad absoluta interpuesta por el gestionante.</w:t>
      </w:r>
    </w:p>
    <w:p w:rsidR="00C9129E" w:rsidRDefault="00C9129E" w:rsidP="00E73DC9">
      <w:pPr>
        <w:pStyle w:val="Style9"/>
        <w:kinsoku w:val="0"/>
        <w:autoSpaceDE/>
        <w:autoSpaceDN/>
        <w:ind w:left="426" w:right="332"/>
        <w:rPr>
          <w:rFonts w:ascii="Tahoma" w:hAnsi="Tahoma" w:cs="Tahoma"/>
          <w:spacing w:val="16"/>
          <w:sz w:val="15"/>
          <w:szCs w:val="15"/>
          <w:lang w:val="es-ES" w:eastAsia="es-ES"/>
        </w:rPr>
      </w:pPr>
      <w:r>
        <w:rPr>
          <w:rFonts w:ascii="Tahoma" w:hAnsi="Tahoma" w:cs="Tahoma"/>
          <w:spacing w:val="18"/>
          <w:sz w:val="15"/>
          <w:szCs w:val="15"/>
          <w:lang w:val="es-ES" w:eastAsia="es-ES"/>
        </w:rPr>
        <w:t xml:space="preserve">Si bien el gestionante no señala en forma expresa cual o </w:t>
      </w:r>
      <w:proofErr w:type="spellStart"/>
      <w:r>
        <w:rPr>
          <w:rFonts w:ascii="Tahoma" w:hAnsi="Tahoma" w:cs="Tahoma"/>
          <w:spacing w:val="18"/>
          <w:sz w:val="15"/>
          <w:szCs w:val="15"/>
          <w:lang w:val="es-ES" w:eastAsia="es-ES"/>
        </w:rPr>
        <w:t>cuales</w:t>
      </w:r>
      <w:proofErr w:type="spellEnd"/>
      <w:r>
        <w:rPr>
          <w:rFonts w:ascii="Tahoma" w:hAnsi="Tahoma" w:cs="Tahoma"/>
          <w:spacing w:val="18"/>
          <w:sz w:val="15"/>
          <w:szCs w:val="15"/>
          <w:lang w:val="es-ES" w:eastAsia="es-ES"/>
        </w:rPr>
        <w:t xml:space="preserve"> son los vicios que </w:t>
      </w:r>
      <w:r>
        <w:rPr>
          <w:rFonts w:ascii="Tahoma" w:hAnsi="Tahoma" w:cs="Tahoma"/>
          <w:spacing w:val="17"/>
          <w:sz w:val="15"/>
          <w:szCs w:val="15"/>
          <w:lang w:val="es-ES" w:eastAsia="es-ES"/>
        </w:rPr>
        <w:t xml:space="preserve">identifica en las actuaciones del Consejo de Transporte Público, hace mención a los </w:t>
      </w:r>
      <w:r>
        <w:rPr>
          <w:rFonts w:ascii="Tahoma" w:hAnsi="Tahoma" w:cs="Tahoma"/>
          <w:spacing w:val="28"/>
          <w:sz w:val="15"/>
          <w:szCs w:val="15"/>
          <w:lang w:val="es-ES" w:eastAsia="es-ES"/>
        </w:rPr>
        <w:t xml:space="preserve">numerales 16, 128, 129, 130, 131, 132, 133 y 217 de la Ley General de la </w:t>
      </w:r>
      <w:r>
        <w:rPr>
          <w:rFonts w:ascii="Tahoma" w:hAnsi="Tahoma" w:cs="Tahoma"/>
          <w:spacing w:val="21"/>
          <w:sz w:val="15"/>
          <w:szCs w:val="15"/>
          <w:lang w:val="es-ES" w:eastAsia="es-ES"/>
        </w:rPr>
        <w:t xml:space="preserve">Administración Pública. En cuanto al régimen de nulidades dispuesto en nuestro ordenamiento jurídico a partir de la Ley General de la Administración Pública, se </w:t>
      </w:r>
      <w:r>
        <w:rPr>
          <w:rFonts w:ascii="Tahoma" w:hAnsi="Tahoma" w:cs="Tahoma"/>
          <w:spacing w:val="20"/>
          <w:sz w:val="15"/>
          <w:szCs w:val="15"/>
          <w:lang w:val="es-ES" w:eastAsia="es-ES"/>
        </w:rPr>
        <w:t xml:space="preserve">establece en el Artículo 154 de dicha ley que la invalidez de un acto o actuación administrativa podrá manifestarse como nulidad absoluta o relativa, según sea la </w:t>
      </w:r>
      <w:r>
        <w:rPr>
          <w:rFonts w:ascii="Tahoma" w:hAnsi="Tahoma" w:cs="Tahoma"/>
          <w:spacing w:val="18"/>
          <w:sz w:val="15"/>
          <w:szCs w:val="15"/>
          <w:lang w:val="es-ES" w:eastAsia="es-ES"/>
        </w:rPr>
        <w:t xml:space="preserve">gravedad de la violación cometida; y </w:t>
      </w:r>
      <w:r>
        <w:rPr>
          <w:rFonts w:ascii="Verdana" w:hAnsi="Verdana" w:cs="Verdana"/>
          <w:b/>
          <w:bCs/>
          <w:spacing w:val="18"/>
          <w:sz w:val="15"/>
          <w:szCs w:val="15"/>
          <w:lang w:val="es-ES" w:eastAsia="es-ES"/>
        </w:rPr>
        <w:t xml:space="preserve">en caso de duda sobre la existencia </w:t>
      </w:r>
      <w:r>
        <w:rPr>
          <w:rFonts w:ascii="Tahoma" w:hAnsi="Tahoma" w:cs="Tahoma"/>
          <w:spacing w:val="18"/>
          <w:sz w:val="15"/>
          <w:szCs w:val="15"/>
          <w:lang w:val="es-ES" w:eastAsia="es-ES"/>
        </w:rPr>
        <w:t xml:space="preserve">o </w:t>
      </w:r>
      <w:r>
        <w:rPr>
          <w:rFonts w:ascii="Tahoma" w:hAnsi="Tahoma" w:cs="Tahoma"/>
          <w:spacing w:val="20"/>
          <w:sz w:val="15"/>
          <w:szCs w:val="15"/>
          <w:lang w:val="es-ES" w:eastAsia="es-ES"/>
        </w:rPr>
        <w:t xml:space="preserve">calificación e importancia del vicio deberá estarse a la consecuencia más favorable a </w:t>
      </w:r>
      <w:r>
        <w:rPr>
          <w:rFonts w:ascii="Tahoma" w:hAnsi="Tahoma" w:cs="Tahoma"/>
          <w:spacing w:val="16"/>
          <w:sz w:val="15"/>
          <w:szCs w:val="15"/>
          <w:lang w:val="es-ES" w:eastAsia="es-ES"/>
        </w:rPr>
        <w:t>la conservación del acto, de conformidad con el numeral 168 de la ley de rito.</w:t>
      </w:r>
    </w:p>
    <w:p w:rsidR="00C9129E" w:rsidRDefault="00C9129E" w:rsidP="00E73DC9">
      <w:pPr>
        <w:pStyle w:val="Style21"/>
        <w:kinsoku w:val="0"/>
        <w:autoSpaceDE/>
        <w:autoSpaceDN/>
        <w:adjustRightInd/>
        <w:spacing w:before="252" w:after="540" w:line="304" w:lineRule="auto"/>
        <w:ind w:left="426" w:right="332"/>
        <w:jc w:val="both"/>
        <w:rPr>
          <w:rFonts w:ascii="Tahoma" w:hAnsi="Tahoma" w:cs="Tahoma"/>
          <w:spacing w:val="18"/>
          <w:sz w:val="15"/>
          <w:szCs w:val="15"/>
          <w:lang w:val="es-ES" w:eastAsia="es-ES"/>
        </w:rPr>
      </w:pPr>
      <w:r>
        <w:rPr>
          <w:rFonts w:ascii="Tahoma" w:hAnsi="Tahoma" w:cs="Tahoma"/>
          <w:spacing w:val="23"/>
          <w:sz w:val="15"/>
          <w:szCs w:val="15"/>
          <w:lang w:val="es-ES" w:eastAsia="es-ES"/>
        </w:rPr>
        <w:t xml:space="preserve">En tal sentido, y de acuerdo con lo resuelto por la Procuraduría General de la </w:t>
      </w:r>
      <w:r>
        <w:rPr>
          <w:rFonts w:ascii="Tahoma" w:hAnsi="Tahoma" w:cs="Tahoma"/>
          <w:spacing w:val="14"/>
          <w:sz w:val="15"/>
          <w:szCs w:val="15"/>
          <w:lang w:val="es-ES" w:eastAsia="es-ES"/>
        </w:rPr>
        <w:t xml:space="preserve">República, en su dictamen C-157-2003, del 03 de junio del 2003, el denominado </w:t>
      </w:r>
      <w:r>
        <w:rPr>
          <w:rFonts w:ascii="Verdana" w:hAnsi="Verdana" w:cs="Verdana"/>
          <w:i/>
          <w:iCs/>
          <w:spacing w:val="14"/>
          <w:w w:val="105"/>
          <w:sz w:val="15"/>
          <w:szCs w:val="15"/>
          <w:lang w:val="es-ES" w:eastAsia="es-ES"/>
        </w:rPr>
        <w:t xml:space="preserve">"recurso </w:t>
      </w:r>
      <w:r>
        <w:rPr>
          <w:rFonts w:ascii="Verdana" w:hAnsi="Verdana" w:cs="Verdana"/>
          <w:i/>
          <w:iCs/>
          <w:spacing w:val="16"/>
          <w:w w:val="105"/>
          <w:sz w:val="15"/>
          <w:szCs w:val="15"/>
          <w:lang w:val="es-ES" w:eastAsia="es-ES"/>
        </w:rPr>
        <w:t xml:space="preserve">de nulidad" </w:t>
      </w:r>
      <w:r>
        <w:rPr>
          <w:rFonts w:ascii="Tahoma" w:hAnsi="Tahoma" w:cs="Tahoma"/>
          <w:spacing w:val="16"/>
          <w:sz w:val="15"/>
          <w:szCs w:val="15"/>
          <w:lang w:val="es-ES" w:eastAsia="es-ES"/>
        </w:rPr>
        <w:t xml:space="preserve">no existe como tal en nuestro ordenamiento jurídico por cuanto no se le </w:t>
      </w:r>
      <w:r>
        <w:rPr>
          <w:rFonts w:ascii="Tahoma" w:hAnsi="Tahoma" w:cs="Tahoma"/>
          <w:spacing w:val="18"/>
          <w:sz w:val="15"/>
          <w:szCs w:val="15"/>
          <w:lang w:val="es-ES" w:eastAsia="es-ES"/>
        </w:rPr>
        <w:t>regula en tal forma, sino que la acción o recurso de nulidad que se interponga contra</w:t>
      </w:r>
    </w:p>
    <w:p w:rsidR="00BA6DDA" w:rsidRDefault="00BA6DDA">
      <w:pPr>
        <w:pStyle w:val="Style11"/>
        <w:kinsoku w:val="0"/>
        <w:autoSpaceDE/>
        <w:autoSpaceDN/>
        <w:spacing w:before="0" w:line="312" w:lineRule="auto"/>
        <w:rPr>
          <w:rFonts w:ascii="Verdana" w:hAnsi="Verdana" w:cs="Verdana"/>
          <w:spacing w:val="9"/>
          <w:sz w:val="15"/>
          <w:szCs w:val="15"/>
          <w:lang w:val="es-ES" w:eastAsia="es-ES"/>
        </w:rPr>
      </w:pPr>
    </w:p>
    <w:p w:rsidR="00B17A12" w:rsidRDefault="00B17A12">
      <w:pPr>
        <w:pStyle w:val="Style11"/>
        <w:kinsoku w:val="0"/>
        <w:autoSpaceDE/>
        <w:autoSpaceDN/>
        <w:spacing w:before="0" w:line="312" w:lineRule="auto"/>
        <w:rPr>
          <w:rFonts w:ascii="Verdana" w:hAnsi="Verdana" w:cs="Verdana"/>
          <w:spacing w:val="9"/>
          <w:sz w:val="15"/>
          <w:szCs w:val="15"/>
          <w:lang w:val="es-ES" w:eastAsia="es-ES"/>
        </w:rPr>
      </w:pPr>
    </w:p>
    <w:p w:rsidR="00B17A12" w:rsidRDefault="00B17A12">
      <w:pPr>
        <w:pStyle w:val="Style11"/>
        <w:kinsoku w:val="0"/>
        <w:autoSpaceDE/>
        <w:autoSpaceDN/>
        <w:spacing w:before="0" w:line="312" w:lineRule="auto"/>
        <w:rPr>
          <w:rFonts w:ascii="Verdana" w:hAnsi="Verdana" w:cs="Verdana"/>
          <w:spacing w:val="9"/>
          <w:sz w:val="15"/>
          <w:szCs w:val="15"/>
          <w:lang w:val="es-ES" w:eastAsia="es-ES"/>
        </w:rPr>
      </w:pPr>
    </w:p>
    <w:p w:rsidR="00BA6DDA" w:rsidRDefault="00BA6DDA">
      <w:pPr>
        <w:pStyle w:val="Style11"/>
        <w:kinsoku w:val="0"/>
        <w:autoSpaceDE/>
        <w:autoSpaceDN/>
        <w:spacing w:before="0" w:line="312" w:lineRule="auto"/>
        <w:rPr>
          <w:rFonts w:ascii="Verdana" w:hAnsi="Verdana" w:cs="Verdana"/>
          <w:spacing w:val="9"/>
          <w:sz w:val="15"/>
          <w:szCs w:val="15"/>
          <w:lang w:val="es-ES" w:eastAsia="es-ES"/>
        </w:rPr>
      </w:pPr>
    </w:p>
    <w:p w:rsidR="00C9129E" w:rsidRDefault="00C9129E">
      <w:pPr>
        <w:pStyle w:val="Style11"/>
        <w:kinsoku w:val="0"/>
        <w:autoSpaceDE/>
        <w:autoSpaceDN/>
        <w:spacing w:before="0" w:line="312" w:lineRule="auto"/>
        <w:rPr>
          <w:rFonts w:ascii="Verdana" w:hAnsi="Verdana" w:cs="Verdana"/>
          <w:spacing w:val="5"/>
          <w:sz w:val="15"/>
          <w:szCs w:val="15"/>
          <w:lang w:val="es-ES" w:eastAsia="es-ES"/>
        </w:rPr>
      </w:pPr>
      <w:proofErr w:type="gramStart"/>
      <w:r>
        <w:rPr>
          <w:rFonts w:ascii="Verdana" w:hAnsi="Verdana" w:cs="Verdana"/>
          <w:spacing w:val="9"/>
          <w:sz w:val="15"/>
          <w:szCs w:val="15"/>
          <w:lang w:val="es-ES" w:eastAsia="es-ES"/>
        </w:rPr>
        <w:lastRenderedPageBreak/>
        <w:t>un</w:t>
      </w:r>
      <w:proofErr w:type="gramEnd"/>
      <w:r>
        <w:rPr>
          <w:rFonts w:ascii="Verdana" w:hAnsi="Verdana" w:cs="Verdana"/>
          <w:spacing w:val="9"/>
          <w:sz w:val="15"/>
          <w:szCs w:val="15"/>
          <w:lang w:val="es-ES" w:eastAsia="es-ES"/>
        </w:rPr>
        <w:t xml:space="preserve"> acto refiere a la declaratoria de invalidez que el recurrente pretende respecto a </w:t>
      </w:r>
      <w:r>
        <w:rPr>
          <w:rFonts w:ascii="Verdana" w:hAnsi="Verdana" w:cs="Verdana"/>
          <w:spacing w:val="10"/>
          <w:sz w:val="15"/>
          <w:szCs w:val="15"/>
          <w:lang w:val="es-ES" w:eastAsia="es-ES"/>
        </w:rPr>
        <w:t xml:space="preserve">dicho acto a través de la interposición de los recursos que la ley faculta contra el </w:t>
      </w:r>
      <w:r>
        <w:rPr>
          <w:rFonts w:ascii="Verdana" w:hAnsi="Verdana" w:cs="Verdana"/>
          <w:spacing w:val="5"/>
          <w:sz w:val="15"/>
          <w:szCs w:val="15"/>
          <w:lang w:val="es-ES" w:eastAsia="es-ES"/>
        </w:rPr>
        <w:t>mismo, sean los ordinarios de revocatoria y apelación.</w:t>
      </w:r>
    </w:p>
    <w:p w:rsidR="00C9129E" w:rsidRDefault="00C9129E">
      <w:pPr>
        <w:pStyle w:val="Style11"/>
        <w:kinsoku w:val="0"/>
        <w:autoSpaceDE/>
        <w:autoSpaceDN/>
        <w:spacing w:before="144" w:line="285" w:lineRule="auto"/>
        <w:rPr>
          <w:rFonts w:ascii="Verdana" w:hAnsi="Verdana" w:cs="Verdana"/>
          <w:spacing w:val="4"/>
          <w:sz w:val="15"/>
          <w:szCs w:val="15"/>
          <w:lang w:val="es-ES" w:eastAsia="es-ES"/>
        </w:rPr>
      </w:pPr>
      <w:r>
        <w:rPr>
          <w:rFonts w:ascii="Verdana" w:hAnsi="Verdana" w:cs="Verdana"/>
          <w:spacing w:val="7"/>
          <w:sz w:val="15"/>
          <w:szCs w:val="15"/>
          <w:lang w:val="es-ES" w:eastAsia="es-ES"/>
        </w:rPr>
        <w:t xml:space="preserve">Así, señala la Procuraduría General de la República que la nulidad es la acción que </w:t>
      </w:r>
      <w:r>
        <w:rPr>
          <w:rFonts w:ascii="Verdana" w:hAnsi="Verdana" w:cs="Verdana"/>
          <w:spacing w:val="10"/>
          <w:sz w:val="15"/>
          <w:szCs w:val="15"/>
          <w:lang w:val="es-ES" w:eastAsia="es-ES"/>
        </w:rPr>
        <w:t xml:space="preserve">pretenden los recurrentes que se declare, a través de los recursos previstos, cuando </w:t>
      </w:r>
      <w:r>
        <w:rPr>
          <w:rFonts w:ascii="Verdana" w:hAnsi="Verdana" w:cs="Verdana"/>
          <w:spacing w:val="9"/>
          <w:sz w:val="15"/>
          <w:szCs w:val="15"/>
          <w:lang w:val="es-ES" w:eastAsia="es-ES"/>
        </w:rPr>
        <w:t xml:space="preserve">el acto administrativo impugnado no se ajusta a los dispuesto en el ordenamiento </w:t>
      </w:r>
      <w:r>
        <w:rPr>
          <w:rFonts w:ascii="Verdana" w:hAnsi="Verdana" w:cs="Verdana"/>
          <w:spacing w:val="6"/>
          <w:sz w:val="15"/>
          <w:szCs w:val="15"/>
          <w:lang w:val="es-ES" w:eastAsia="es-ES"/>
        </w:rPr>
        <w:t xml:space="preserve">jurídico, según doctrina de los artículos 158 inciso 2) y 165 de la Ley General de la </w:t>
      </w:r>
      <w:r>
        <w:rPr>
          <w:rFonts w:ascii="Verdana" w:hAnsi="Verdana" w:cs="Verdana"/>
          <w:spacing w:val="4"/>
          <w:sz w:val="15"/>
          <w:szCs w:val="15"/>
          <w:lang w:val="es-ES" w:eastAsia="es-ES"/>
        </w:rPr>
        <w:t>Administración Pública.</w:t>
      </w:r>
    </w:p>
    <w:p w:rsidR="00C9129E" w:rsidRDefault="00C9129E">
      <w:pPr>
        <w:pStyle w:val="Style11"/>
        <w:kinsoku w:val="0"/>
        <w:autoSpaceDE/>
        <w:autoSpaceDN/>
        <w:spacing w:before="288" w:line="285" w:lineRule="auto"/>
        <w:rPr>
          <w:rFonts w:ascii="Verdana" w:hAnsi="Verdana" w:cs="Verdana"/>
          <w:spacing w:val="7"/>
          <w:sz w:val="15"/>
          <w:szCs w:val="15"/>
          <w:lang w:val="es-ES" w:eastAsia="es-ES"/>
        </w:rPr>
      </w:pPr>
      <w:r>
        <w:rPr>
          <w:rFonts w:ascii="Verdana" w:hAnsi="Verdana" w:cs="Verdana"/>
          <w:spacing w:val="8"/>
          <w:sz w:val="15"/>
          <w:szCs w:val="15"/>
          <w:lang w:val="es-ES" w:eastAsia="es-ES"/>
        </w:rPr>
        <w:t xml:space="preserve">En cuanto al Artículo de 129 de la Ley General de la Administración Pública establece </w:t>
      </w:r>
      <w:r>
        <w:rPr>
          <w:rFonts w:ascii="Verdana" w:hAnsi="Verdana" w:cs="Verdana"/>
          <w:spacing w:val="5"/>
          <w:sz w:val="15"/>
          <w:szCs w:val="15"/>
          <w:lang w:val="es-ES" w:eastAsia="es-ES"/>
        </w:rPr>
        <w:t xml:space="preserve">que el acto será nulo si es dictado por un sujeto no competente. En el presente caso se </w:t>
      </w:r>
      <w:r>
        <w:rPr>
          <w:rFonts w:ascii="Verdana" w:hAnsi="Verdana" w:cs="Verdana"/>
          <w:spacing w:val="6"/>
          <w:sz w:val="15"/>
          <w:szCs w:val="15"/>
          <w:lang w:val="es-ES" w:eastAsia="es-ES"/>
        </w:rPr>
        <w:t xml:space="preserve">tiene que la Junta Directiva fue el órgano que acordó publicar la lista preliminar por lo </w:t>
      </w:r>
      <w:r>
        <w:rPr>
          <w:rFonts w:ascii="Verdana" w:hAnsi="Verdana" w:cs="Verdana"/>
          <w:spacing w:val="8"/>
          <w:sz w:val="15"/>
          <w:szCs w:val="15"/>
          <w:lang w:val="es-ES" w:eastAsia="es-ES"/>
        </w:rPr>
        <w:t xml:space="preserve">cual no se configura dicho vicio. En cuanto al 130 de la ley de rito no se aprecian </w:t>
      </w:r>
      <w:r>
        <w:rPr>
          <w:rFonts w:ascii="Verdana" w:hAnsi="Verdana" w:cs="Verdana"/>
          <w:spacing w:val="9"/>
          <w:sz w:val="15"/>
          <w:szCs w:val="15"/>
          <w:lang w:val="es-ES" w:eastAsia="es-ES"/>
        </w:rPr>
        <w:t xml:space="preserve">elementos que permitan concluir que ha habido error, dolo, violencia o algún vicio en </w:t>
      </w:r>
      <w:r>
        <w:rPr>
          <w:rFonts w:ascii="Verdana" w:hAnsi="Verdana" w:cs="Verdana"/>
          <w:spacing w:val="7"/>
          <w:sz w:val="15"/>
          <w:szCs w:val="15"/>
          <w:lang w:val="es-ES" w:eastAsia="es-ES"/>
        </w:rPr>
        <w:t>la manifestación de la voluntad por parte de ese órgano colegiado.</w:t>
      </w:r>
    </w:p>
    <w:p w:rsidR="00C9129E" w:rsidRDefault="00C9129E">
      <w:pPr>
        <w:pStyle w:val="Style11"/>
        <w:kinsoku w:val="0"/>
        <w:autoSpaceDE/>
        <w:autoSpaceDN/>
        <w:rPr>
          <w:rFonts w:ascii="Verdana" w:hAnsi="Verdana" w:cs="Verdana"/>
          <w:spacing w:val="4"/>
          <w:sz w:val="15"/>
          <w:szCs w:val="15"/>
          <w:lang w:val="es-ES" w:eastAsia="es-ES"/>
        </w:rPr>
      </w:pPr>
      <w:r>
        <w:rPr>
          <w:rFonts w:ascii="Verdana" w:hAnsi="Verdana" w:cs="Verdana"/>
          <w:spacing w:val="7"/>
          <w:sz w:val="15"/>
          <w:szCs w:val="15"/>
          <w:lang w:val="es-ES" w:eastAsia="es-ES"/>
        </w:rPr>
        <w:t xml:space="preserve">Respecto los fines y el contenido del acto a los que refiere los Artículos 131, 132 y 133 </w:t>
      </w:r>
      <w:r>
        <w:rPr>
          <w:rFonts w:ascii="Verdana" w:hAnsi="Verdana" w:cs="Verdana"/>
          <w:spacing w:val="6"/>
          <w:sz w:val="15"/>
          <w:szCs w:val="15"/>
          <w:lang w:val="es-ES" w:eastAsia="es-ES"/>
        </w:rPr>
        <w:t xml:space="preserve">de la Ley General de la Administración Pública, el acto, siendo un preparatorio, como ya </w:t>
      </w:r>
      <w:r>
        <w:rPr>
          <w:rFonts w:ascii="Verdana" w:hAnsi="Verdana" w:cs="Verdana"/>
          <w:spacing w:val="7"/>
          <w:sz w:val="15"/>
          <w:szCs w:val="15"/>
          <w:lang w:val="es-ES" w:eastAsia="es-ES"/>
        </w:rPr>
        <w:t xml:space="preserve">se ha señalado, se ajusta a lo ordenado en el Artículo 35 de la Ley 7969, razón por la </w:t>
      </w:r>
      <w:r>
        <w:rPr>
          <w:rFonts w:ascii="Verdana" w:hAnsi="Verdana" w:cs="Verdana"/>
          <w:spacing w:val="4"/>
          <w:sz w:val="15"/>
          <w:szCs w:val="15"/>
          <w:lang w:val="es-ES" w:eastAsia="es-ES"/>
        </w:rPr>
        <w:t>cual debe desestimarse también este argumento.</w:t>
      </w:r>
    </w:p>
    <w:p w:rsidR="00C9129E" w:rsidRDefault="00C9129E">
      <w:pPr>
        <w:pStyle w:val="Style11"/>
        <w:kinsoku w:val="0"/>
        <w:autoSpaceDE/>
        <w:autoSpaceDN/>
        <w:spacing w:before="288" w:line="288" w:lineRule="auto"/>
        <w:rPr>
          <w:rFonts w:ascii="Verdana" w:hAnsi="Verdana" w:cs="Verdana"/>
          <w:spacing w:val="5"/>
          <w:sz w:val="15"/>
          <w:szCs w:val="15"/>
          <w:lang w:val="es-ES" w:eastAsia="es-ES"/>
        </w:rPr>
      </w:pPr>
      <w:r>
        <w:rPr>
          <w:rFonts w:ascii="Verdana" w:hAnsi="Verdana" w:cs="Verdana"/>
          <w:spacing w:val="9"/>
          <w:sz w:val="15"/>
          <w:szCs w:val="15"/>
          <w:lang w:val="es-ES" w:eastAsia="es-ES"/>
        </w:rPr>
        <w:t xml:space="preserve">En relación con el argumento de violación al numeral 217 de la Ley General de la </w:t>
      </w:r>
      <w:r>
        <w:rPr>
          <w:rFonts w:ascii="Verdana" w:hAnsi="Verdana" w:cs="Verdana"/>
          <w:spacing w:val="2"/>
          <w:sz w:val="15"/>
          <w:szCs w:val="15"/>
          <w:lang w:val="es-ES" w:eastAsia="es-ES"/>
        </w:rPr>
        <w:t xml:space="preserve">Administración Pública el mismo resulta extraño por cuanto primeramente está referido al </w:t>
      </w:r>
      <w:r>
        <w:rPr>
          <w:rFonts w:ascii="Verdana" w:hAnsi="Verdana" w:cs="Verdana"/>
          <w:spacing w:val="4"/>
          <w:sz w:val="15"/>
          <w:szCs w:val="15"/>
          <w:lang w:val="es-ES" w:eastAsia="es-ES"/>
        </w:rPr>
        <w:t xml:space="preserve">acceso de las partes al expediente dentro del procesos administrativos ordinarios, pero </w:t>
      </w:r>
      <w:r>
        <w:rPr>
          <w:rFonts w:ascii="Verdana" w:hAnsi="Verdana" w:cs="Verdana"/>
          <w:spacing w:val="17"/>
          <w:sz w:val="15"/>
          <w:szCs w:val="15"/>
          <w:lang w:val="es-ES" w:eastAsia="es-ES"/>
        </w:rPr>
        <w:t xml:space="preserve">además no se acredita que al gestionante se le haya negado el acceso a la </w:t>
      </w:r>
      <w:r>
        <w:rPr>
          <w:rFonts w:ascii="Verdana" w:hAnsi="Verdana" w:cs="Verdana"/>
          <w:spacing w:val="11"/>
          <w:sz w:val="15"/>
          <w:szCs w:val="15"/>
          <w:lang w:val="es-ES" w:eastAsia="es-ES"/>
        </w:rPr>
        <w:t xml:space="preserve">información, más por el contrario la Administración otorgó un plazo de ocho días </w:t>
      </w:r>
      <w:r>
        <w:rPr>
          <w:rFonts w:ascii="Verdana" w:hAnsi="Verdana" w:cs="Verdana"/>
          <w:spacing w:val="10"/>
          <w:sz w:val="15"/>
          <w:szCs w:val="15"/>
          <w:lang w:val="es-ES" w:eastAsia="es-ES"/>
        </w:rPr>
        <w:t xml:space="preserve">hábiles para que quienes así tuvieran interés se apersonaran ante este Consejo a </w:t>
      </w:r>
      <w:r>
        <w:rPr>
          <w:rFonts w:ascii="Verdana" w:hAnsi="Verdana" w:cs="Verdana"/>
          <w:spacing w:val="5"/>
          <w:sz w:val="15"/>
          <w:szCs w:val="15"/>
          <w:lang w:val="es-ES" w:eastAsia="es-ES"/>
        </w:rPr>
        <w:t>realizar las consultas y observaciones que consideran pertinentes.</w:t>
      </w:r>
    </w:p>
    <w:p w:rsidR="00C9129E" w:rsidRDefault="00C9129E">
      <w:pPr>
        <w:pStyle w:val="Style11"/>
        <w:kinsoku w:val="0"/>
        <w:autoSpaceDE/>
        <w:autoSpaceDN/>
        <w:spacing w:before="360" w:line="290" w:lineRule="auto"/>
        <w:rPr>
          <w:rFonts w:ascii="Verdana" w:hAnsi="Verdana" w:cs="Verdana"/>
          <w:sz w:val="15"/>
          <w:szCs w:val="15"/>
          <w:lang w:val="es-ES" w:eastAsia="es-ES"/>
        </w:rPr>
      </w:pPr>
      <w:r>
        <w:rPr>
          <w:rFonts w:ascii="Verdana" w:hAnsi="Verdana" w:cs="Verdana"/>
          <w:spacing w:val="12"/>
          <w:sz w:val="15"/>
          <w:szCs w:val="15"/>
          <w:lang w:val="es-ES" w:eastAsia="es-ES"/>
        </w:rPr>
        <w:t xml:space="preserve">Finalmente y respecto al presunto quebranto a los Artículos 16 y 128 de la Ley </w:t>
      </w:r>
      <w:r>
        <w:rPr>
          <w:rFonts w:ascii="Verdana" w:hAnsi="Verdana" w:cs="Verdana"/>
          <w:spacing w:val="10"/>
          <w:sz w:val="15"/>
          <w:szCs w:val="15"/>
          <w:lang w:val="es-ES" w:eastAsia="es-ES"/>
        </w:rPr>
        <w:t xml:space="preserve">General de la Administración Pública no se evidencian violaciones a los principios de la ciencia, la lógica, la técnica o principios elementales de justicia o conveniencia, </w:t>
      </w:r>
      <w:r>
        <w:rPr>
          <w:rFonts w:ascii="Verdana" w:hAnsi="Verdana" w:cs="Verdana"/>
          <w:spacing w:val="9"/>
          <w:sz w:val="15"/>
          <w:szCs w:val="15"/>
          <w:lang w:val="es-ES" w:eastAsia="es-ES"/>
        </w:rPr>
        <w:t xml:space="preserve">razón por la cual y habiéndose analizado la validez de lo actuado lo procedente es </w:t>
      </w:r>
      <w:r>
        <w:rPr>
          <w:rFonts w:ascii="Verdana" w:hAnsi="Verdana" w:cs="Verdana"/>
          <w:spacing w:val="7"/>
          <w:sz w:val="15"/>
          <w:szCs w:val="15"/>
          <w:lang w:val="es-ES" w:eastAsia="es-ES"/>
        </w:rPr>
        <w:t xml:space="preserve">rechazar el incidente de nulidad absoluta presentada por cuanto no se han detectado </w:t>
      </w:r>
      <w:r>
        <w:rPr>
          <w:rFonts w:ascii="Verdana" w:hAnsi="Verdana" w:cs="Verdana"/>
          <w:spacing w:val="3"/>
          <w:sz w:val="15"/>
          <w:szCs w:val="15"/>
          <w:lang w:val="es-ES" w:eastAsia="es-ES"/>
        </w:rPr>
        <w:t xml:space="preserve">vicios de nulidad absoluta o relativa en las actuaciones desplegadas por la Junta Directiva </w:t>
      </w:r>
      <w:r>
        <w:rPr>
          <w:rFonts w:ascii="Verdana" w:hAnsi="Verdana" w:cs="Verdana"/>
          <w:spacing w:val="6"/>
          <w:sz w:val="15"/>
          <w:szCs w:val="15"/>
          <w:lang w:val="es-ES" w:eastAsia="es-ES"/>
        </w:rPr>
        <w:t xml:space="preserve">como paso previo a la adjudicación de las 1034 concesiones administrativas para el </w:t>
      </w:r>
      <w:r>
        <w:rPr>
          <w:rFonts w:ascii="Verdana" w:hAnsi="Verdana" w:cs="Verdana"/>
          <w:spacing w:val="8"/>
          <w:sz w:val="15"/>
          <w:szCs w:val="15"/>
          <w:lang w:val="es-ES" w:eastAsia="es-ES"/>
        </w:rPr>
        <w:t xml:space="preserve">transportes de personas con discapacidad, por lo cual debe estarse a la conservación </w:t>
      </w:r>
      <w:r>
        <w:rPr>
          <w:rFonts w:ascii="Verdana" w:hAnsi="Verdana" w:cs="Verdana"/>
          <w:spacing w:val="20"/>
          <w:sz w:val="15"/>
          <w:szCs w:val="15"/>
          <w:lang w:val="es-ES" w:eastAsia="es-ES"/>
        </w:rPr>
        <w:t xml:space="preserve">del mismo conforme lo preceptúa el numeral 168 de la Ley General de la </w:t>
      </w:r>
      <w:r>
        <w:rPr>
          <w:rFonts w:ascii="Verdana" w:hAnsi="Verdana" w:cs="Verdana"/>
          <w:spacing w:val="12"/>
          <w:sz w:val="15"/>
          <w:szCs w:val="15"/>
          <w:lang w:val="es-ES" w:eastAsia="es-ES"/>
        </w:rPr>
        <w:t xml:space="preserve">Administración Pública, máxime que se trata de un acto preparatorio y de mero </w:t>
      </w:r>
      <w:r>
        <w:rPr>
          <w:rFonts w:ascii="Verdana" w:hAnsi="Verdana" w:cs="Verdana"/>
          <w:sz w:val="15"/>
          <w:szCs w:val="15"/>
          <w:lang w:val="es-ES" w:eastAsia="es-ES"/>
        </w:rPr>
        <w:t>trámite.</w:t>
      </w:r>
    </w:p>
    <w:p w:rsidR="00C9129E" w:rsidRDefault="00C9129E">
      <w:pPr>
        <w:pStyle w:val="Style21"/>
        <w:kinsoku w:val="0"/>
        <w:autoSpaceDE/>
        <w:autoSpaceDN/>
        <w:adjustRightInd/>
        <w:spacing w:before="432" w:line="199" w:lineRule="auto"/>
        <w:ind w:left="360"/>
        <w:rPr>
          <w:rFonts w:ascii="Verdana" w:hAnsi="Verdana" w:cs="Verdana"/>
          <w:b/>
          <w:bCs/>
          <w:spacing w:val="-8"/>
          <w:w w:val="105"/>
          <w:sz w:val="15"/>
          <w:szCs w:val="15"/>
          <w:lang w:val="es-ES" w:eastAsia="es-ES"/>
        </w:rPr>
      </w:pPr>
      <w:r>
        <w:rPr>
          <w:rFonts w:ascii="Verdana" w:hAnsi="Verdana" w:cs="Verdana"/>
          <w:b/>
          <w:bCs/>
          <w:spacing w:val="-8"/>
          <w:w w:val="105"/>
          <w:sz w:val="15"/>
          <w:szCs w:val="15"/>
          <w:lang w:val="es-ES" w:eastAsia="es-ES"/>
        </w:rPr>
        <w:t>POR TANTO SE ACUERDA EN FIRME</w:t>
      </w:r>
    </w:p>
    <w:p w:rsidR="00C9129E" w:rsidRDefault="00C9129E">
      <w:pPr>
        <w:pStyle w:val="Style21"/>
        <w:kinsoku w:val="0"/>
        <w:autoSpaceDE/>
        <w:autoSpaceDN/>
        <w:adjustRightInd/>
        <w:spacing w:before="72"/>
        <w:ind w:left="360"/>
        <w:rPr>
          <w:rFonts w:ascii="Verdana" w:hAnsi="Verdana" w:cs="Verdana"/>
          <w:spacing w:val="5"/>
          <w:sz w:val="15"/>
          <w:szCs w:val="15"/>
          <w:lang w:val="es-ES" w:eastAsia="es-ES"/>
        </w:rPr>
      </w:pPr>
      <w:r>
        <w:rPr>
          <w:rFonts w:ascii="Verdana" w:hAnsi="Verdana" w:cs="Verdana"/>
          <w:spacing w:val="5"/>
          <w:sz w:val="15"/>
          <w:szCs w:val="15"/>
          <w:lang w:val="es-ES" w:eastAsia="es-ES"/>
        </w:rPr>
        <w:t>Acoger las recomendaciones realizadas y por ende:</w:t>
      </w:r>
    </w:p>
    <w:p w:rsidR="00C9129E" w:rsidRDefault="00C9129E">
      <w:pPr>
        <w:pStyle w:val="Style11"/>
        <w:numPr>
          <w:ilvl w:val="0"/>
          <w:numId w:val="5"/>
        </w:numPr>
        <w:tabs>
          <w:tab w:val="clear" w:pos="216"/>
          <w:tab w:val="num" w:pos="288"/>
        </w:tabs>
        <w:kinsoku w:val="0"/>
        <w:autoSpaceDE/>
        <w:autoSpaceDN/>
        <w:spacing w:line="314" w:lineRule="auto"/>
        <w:rPr>
          <w:rFonts w:ascii="Verdana" w:hAnsi="Verdana" w:cs="Verdana"/>
          <w:spacing w:val="5"/>
          <w:sz w:val="15"/>
          <w:szCs w:val="15"/>
          <w:lang w:val="es-ES" w:eastAsia="es-ES"/>
        </w:rPr>
      </w:pPr>
      <w:r>
        <w:rPr>
          <w:rFonts w:ascii="Verdana" w:hAnsi="Verdana" w:cs="Verdana"/>
          <w:spacing w:val="6"/>
          <w:sz w:val="15"/>
          <w:szCs w:val="15"/>
          <w:lang w:val="es-ES" w:eastAsia="es-ES"/>
        </w:rPr>
        <w:t xml:space="preserve">Rechazar por jurídicamente improcedente el Recurso de Revocatoria y el Incidente de </w:t>
      </w:r>
      <w:r>
        <w:rPr>
          <w:rFonts w:ascii="Verdana" w:hAnsi="Verdana" w:cs="Verdana"/>
          <w:spacing w:val="14"/>
          <w:sz w:val="15"/>
          <w:szCs w:val="15"/>
          <w:lang w:val="es-ES" w:eastAsia="es-ES"/>
        </w:rPr>
        <w:t xml:space="preserve">Nulidad interpuesto contra el Artículo 3.3 de la Sesión Ordinaria 37-2011, de </w:t>
      </w:r>
      <w:r>
        <w:rPr>
          <w:rFonts w:ascii="Verdana" w:hAnsi="Verdana" w:cs="Verdana"/>
          <w:spacing w:val="6"/>
          <w:sz w:val="15"/>
          <w:szCs w:val="15"/>
          <w:lang w:val="es-ES" w:eastAsia="es-ES"/>
        </w:rPr>
        <w:t xml:space="preserve">conformidad con lo establecido Los Artículos 10, 33 y 35 de la Ley 7969 en relación con </w:t>
      </w:r>
      <w:r>
        <w:rPr>
          <w:rFonts w:ascii="Verdana" w:hAnsi="Verdana" w:cs="Verdana"/>
          <w:spacing w:val="1"/>
          <w:sz w:val="15"/>
          <w:szCs w:val="15"/>
          <w:lang w:val="es-ES" w:eastAsia="es-ES"/>
        </w:rPr>
        <w:t xml:space="preserve">los numerales 78, 79, 80, 81, 82, 83, 84 y l64 del Reglamento de la Ley de Contratación </w:t>
      </w:r>
      <w:r>
        <w:rPr>
          <w:rFonts w:ascii="Verdana" w:hAnsi="Verdana" w:cs="Verdana"/>
          <w:spacing w:val="9"/>
          <w:sz w:val="15"/>
          <w:szCs w:val="15"/>
          <w:lang w:val="es-ES" w:eastAsia="es-ES"/>
        </w:rPr>
        <w:t xml:space="preserve">Administrativa y Artículos 16 128, 129, 130, 131, 132, 133, 158, 217 y 292.3 de la </w:t>
      </w:r>
      <w:r>
        <w:rPr>
          <w:rFonts w:ascii="Verdana" w:hAnsi="Verdana" w:cs="Verdana"/>
          <w:spacing w:val="8"/>
          <w:sz w:val="15"/>
          <w:szCs w:val="15"/>
          <w:lang w:val="es-ES" w:eastAsia="es-ES"/>
        </w:rPr>
        <w:t xml:space="preserve">Ley General de la Administración Pública, en relación con el Artículo 8 del Decreto </w:t>
      </w:r>
      <w:r>
        <w:rPr>
          <w:rFonts w:ascii="Verdana" w:hAnsi="Verdana" w:cs="Verdana"/>
          <w:spacing w:val="5"/>
          <w:sz w:val="15"/>
          <w:szCs w:val="15"/>
          <w:lang w:val="es-ES" w:eastAsia="es-ES"/>
        </w:rPr>
        <w:t>Ejecutivo 35448-MOPT y sus reformas.</w:t>
      </w:r>
    </w:p>
    <w:p w:rsidR="00C9129E" w:rsidRDefault="00C9129E" w:rsidP="005879C1">
      <w:pPr>
        <w:pStyle w:val="Style21"/>
        <w:numPr>
          <w:ilvl w:val="0"/>
          <w:numId w:val="6"/>
        </w:numPr>
        <w:tabs>
          <w:tab w:val="clear" w:pos="288"/>
          <w:tab w:val="num" w:pos="360"/>
        </w:tabs>
        <w:kinsoku w:val="0"/>
        <w:autoSpaceDE/>
        <w:autoSpaceDN/>
        <w:adjustRightInd/>
        <w:spacing w:before="180" w:line="292" w:lineRule="auto"/>
        <w:ind w:right="72"/>
        <w:jc w:val="both"/>
        <w:rPr>
          <w:rFonts w:ascii="Verdana" w:hAnsi="Verdana" w:cs="Verdana"/>
          <w:spacing w:val="15"/>
          <w:sz w:val="15"/>
          <w:szCs w:val="15"/>
          <w:lang w:val="es-ES" w:eastAsia="es-ES"/>
        </w:rPr>
      </w:pPr>
      <w:r>
        <w:rPr>
          <w:rFonts w:ascii="Verdana" w:hAnsi="Verdana" w:cs="Verdana"/>
          <w:spacing w:val="3"/>
          <w:sz w:val="15"/>
          <w:szCs w:val="15"/>
          <w:lang w:val="es-ES" w:eastAsia="es-ES"/>
        </w:rPr>
        <w:t xml:space="preserve">Elevar la Apelación ante el Tribunal Administrativo de Transporte de conformidad con lo </w:t>
      </w:r>
      <w:r>
        <w:rPr>
          <w:rFonts w:ascii="Verdana" w:hAnsi="Verdana" w:cs="Verdana"/>
          <w:spacing w:val="15"/>
          <w:sz w:val="15"/>
          <w:szCs w:val="15"/>
          <w:lang w:val="es-ES" w:eastAsia="es-ES"/>
        </w:rPr>
        <w:t>estipulado en el Artículo 349.2 de la Ley General de la Administración Pública."</w:t>
      </w:r>
    </w:p>
    <w:p w:rsidR="00C9129E" w:rsidRDefault="00C9129E">
      <w:pPr>
        <w:pStyle w:val="Style21"/>
        <w:kinsoku w:val="0"/>
        <w:autoSpaceDE/>
        <w:autoSpaceDN/>
        <w:adjustRightInd/>
        <w:spacing w:after="720" w:line="268" w:lineRule="auto"/>
        <w:ind w:left="288"/>
        <w:rPr>
          <w:rFonts w:ascii="Verdana" w:hAnsi="Verdana" w:cs="Verdana"/>
          <w:spacing w:val="4"/>
          <w:sz w:val="20"/>
          <w:szCs w:val="20"/>
          <w:lang w:val="es-ES" w:eastAsia="es-ES"/>
        </w:rPr>
      </w:pPr>
      <w:r>
        <w:rPr>
          <w:rFonts w:ascii="Verdana" w:hAnsi="Verdana" w:cs="Verdana"/>
          <w:spacing w:val="4"/>
          <w:sz w:val="20"/>
          <w:szCs w:val="20"/>
          <w:lang w:val="es-ES" w:eastAsia="es-ES"/>
        </w:rPr>
        <w:t>(Léanse folios del 40 al 43 del expediente administrativo).</w:t>
      </w:r>
    </w:p>
    <w:p w:rsidR="00C9129E" w:rsidRDefault="00C9129E">
      <w:pPr>
        <w:pStyle w:val="Style21"/>
        <w:tabs>
          <w:tab w:val="right" w:pos="7982"/>
        </w:tabs>
        <w:kinsoku w:val="0"/>
        <w:autoSpaceDE/>
        <w:autoSpaceDN/>
        <w:adjustRightInd/>
        <w:spacing w:line="213" w:lineRule="exact"/>
        <w:ind w:left="5256"/>
        <w:rPr>
          <w:rFonts w:ascii="Arial" w:hAnsi="Arial" w:cs="Arial"/>
          <w:sz w:val="20"/>
          <w:szCs w:val="20"/>
          <w:lang w:val="es-ES" w:eastAsia="es-ES"/>
        </w:rPr>
      </w:pPr>
    </w:p>
    <w:p w:rsidR="00B17A12" w:rsidRDefault="00B17A12">
      <w:pPr>
        <w:pStyle w:val="Style21"/>
        <w:tabs>
          <w:tab w:val="right" w:pos="7982"/>
        </w:tabs>
        <w:kinsoku w:val="0"/>
        <w:autoSpaceDE/>
        <w:autoSpaceDN/>
        <w:adjustRightInd/>
        <w:spacing w:line="213" w:lineRule="exact"/>
        <w:ind w:left="5256"/>
        <w:rPr>
          <w:rFonts w:ascii="Arial" w:hAnsi="Arial" w:cs="Arial"/>
          <w:sz w:val="20"/>
          <w:szCs w:val="20"/>
          <w:lang w:val="es-ES" w:eastAsia="es-ES"/>
        </w:rPr>
      </w:pPr>
    </w:p>
    <w:p w:rsidR="005879C1" w:rsidRDefault="005879C1">
      <w:pPr>
        <w:pStyle w:val="Style21"/>
        <w:kinsoku w:val="0"/>
        <w:autoSpaceDE/>
        <w:autoSpaceDN/>
        <w:adjustRightInd/>
        <w:rPr>
          <w:rFonts w:ascii="Verdana" w:hAnsi="Verdana" w:cs="Verdana"/>
          <w:b/>
          <w:bCs/>
          <w:spacing w:val="23"/>
          <w:w w:val="105"/>
          <w:sz w:val="20"/>
          <w:szCs w:val="20"/>
          <w:lang w:val="es-ES" w:eastAsia="es-ES"/>
        </w:rPr>
      </w:pPr>
    </w:p>
    <w:p w:rsidR="005879C1" w:rsidRDefault="005879C1">
      <w:pPr>
        <w:pStyle w:val="Style21"/>
        <w:kinsoku w:val="0"/>
        <w:autoSpaceDE/>
        <w:autoSpaceDN/>
        <w:adjustRightInd/>
        <w:rPr>
          <w:rFonts w:ascii="Verdana" w:hAnsi="Verdana" w:cs="Verdana"/>
          <w:b/>
          <w:bCs/>
          <w:spacing w:val="23"/>
          <w:w w:val="105"/>
          <w:sz w:val="20"/>
          <w:szCs w:val="20"/>
          <w:lang w:val="es-ES" w:eastAsia="es-ES"/>
        </w:rPr>
      </w:pPr>
    </w:p>
    <w:p w:rsidR="005879C1" w:rsidRDefault="005879C1">
      <w:pPr>
        <w:pStyle w:val="Style21"/>
        <w:kinsoku w:val="0"/>
        <w:autoSpaceDE/>
        <w:autoSpaceDN/>
        <w:adjustRightInd/>
        <w:rPr>
          <w:rFonts w:ascii="Verdana" w:hAnsi="Verdana" w:cs="Verdana"/>
          <w:b/>
          <w:bCs/>
          <w:spacing w:val="23"/>
          <w:w w:val="105"/>
          <w:sz w:val="20"/>
          <w:szCs w:val="20"/>
          <w:lang w:val="es-ES" w:eastAsia="es-ES"/>
        </w:rPr>
      </w:pPr>
    </w:p>
    <w:p w:rsidR="005879C1" w:rsidRDefault="005879C1">
      <w:pPr>
        <w:pStyle w:val="Style21"/>
        <w:kinsoku w:val="0"/>
        <w:autoSpaceDE/>
        <w:autoSpaceDN/>
        <w:adjustRightInd/>
        <w:rPr>
          <w:rFonts w:ascii="Verdana" w:hAnsi="Verdana" w:cs="Verdana"/>
          <w:b/>
          <w:bCs/>
          <w:spacing w:val="23"/>
          <w:w w:val="105"/>
          <w:sz w:val="20"/>
          <w:szCs w:val="20"/>
          <w:lang w:val="es-ES" w:eastAsia="es-ES"/>
        </w:rPr>
      </w:pPr>
    </w:p>
    <w:p w:rsidR="00C9129E" w:rsidRDefault="00C9129E" w:rsidP="005879C1">
      <w:pPr>
        <w:pStyle w:val="Style21"/>
        <w:kinsoku w:val="0"/>
        <w:autoSpaceDE/>
        <w:autoSpaceDN/>
        <w:adjustRightInd/>
        <w:jc w:val="both"/>
        <w:rPr>
          <w:rFonts w:ascii="Verdana" w:hAnsi="Verdana" w:cs="Verdana"/>
          <w:spacing w:val="2"/>
          <w:sz w:val="20"/>
          <w:szCs w:val="20"/>
          <w:lang w:val="es-ES" w:eastAsia="es-ES"/>
        </w:rPr>
      </w:pPr>
      <w:r>
        <w:rPr>
          <w:rFonts w:ascii="Verdana" w:hAnsi="Verdana" w:cs="Verdana"/>
          <w:b/>
          <w:bCs/>
          <w:spacing w:val="23"/>
          <w:w w:val="105"/>
          <w:sz w:val="20"/>
          <w:szCs w:val="20"/>
          <w:lang w:val="es-ES" w:eastAsia="es-ES"/>
        </w:rPr>
        <w:lastRenderedPageBreak/>
        <w:t xml:space="preserve">CUARTO: </w:t>
      </w:r>
      <w:r>
        <w:rPr>
          <w:rFonts w:ascii="Verdana" w:hAnsi="Verdana" w:cs="Verdana"/>
          <w:spacing w:val="23"/>
          <w:sz w:val="20"/>
          <w:szCs w:val="20"/>
          <w:lang w:val="es-ES" w:eastAsia="es-ES"/>
        </w:rPr>
        <w:t xml:space="preserve">En los procedimientos seguidos se han observado las </w:t>
      </w:r>
      <w:r>
        <w:rPr>
          <w:rFonts w:ascii="Verdana" w:hAnsi="Verdana" w:cs="Verdana"/>
          <w:spacing w:val="2"/>
          <w:sz w:val="20"/>
          <w:szCs w:val="20"/>
          <w:lang w:val="es-ES" w:eastAsia="es-ES"/>
        </w:rPr>
        <w:t>prescripciones legales.</w:t>
      </w:r>
    </w:p>
    <w:p w:rsidR="00C9129E" w:rsidRDefault="00C9129E">
      <w:pPr>
        <w:pStyle w:val="Style21"/>
        <w:kinsoku w:val="0"/>
        <w:autoSpaceDE/>
        <w:autoSpaceDN/>
        <w:adjustRightInd/>
        <w:spacing w:before="792" w:line="206" w:lineRule="auto"/>
        <w:rPr>
          <w:rFonts w:ascii="Verdana" w:hAnsi="Verdana" w:cs="Verdana"/>
          <w:b/>
          <w:bCs/>
          <w:w w:val="105"/>
          <w:sz w:val="20"/>
          <w:szCs w:val="20"/>
          <w:lang w:val="es-ES" w:eastAsia="es-ES"/>
        </w:rPr>
      </w:pPr>
      <w:r>
        <w:rPr>
          <w:rFonts w:ascii="Verdana" w:hAnsi="Verdana" w:cs="Verdana"/>
          <w:b/>
          <w:bCs/>
          <w:w w:val="105"/>
          <w:sz w:val="20"/>
          <w:szCs w:val="20"/>
          <w:lang w:val="es-ES" w:eastAsia="es-ES"/>
        </w:rPr>
        <w:t>Redacta la Jueza Pérez Peláez.</w:t>
      </w:r>
    </w:p>
    <w:p w:rsidR="00C9129E" w:rsidRDefault="00C9129E">
      <w:pPr>
        <w:pStyle w:val="Style21"/>
        <w:kinsoku w:val="0"/>
        <w:autoSpaceDE/>
        <w:autoSpaceDN/>
        <w:adjustRightInd/>
        <w:spacing w:before="792" w:line="192" w:lineRule="auto"/>
        <w:ind w:left="3096"/>
        <w:rPr>
          <w:rFonts w:ascii="Verdana" w:hAnsi="Verdana" w:cs="Verdana"/>
          <w:b/>
          <w:bCs/>
          <w:w w:val="105"/>
          <w:sz w:val="20"/>
          <w:szCs w:val="20"/>
          <w:lang w:val="es-ES" w:eastAsia="es-ES"/>
        </w:rPr>
      </w:pPr>
      <w:r>
        <w:rPr>
          <w:rFonts w:ascii="Verdana" w:hAnsi="Verdana" w:cs="Verdana"/>
          <w:b/>
          <w:bCs/>
          <w:w w:val="105"/>
          <w:sz w:val="20"/>
          <w:szCs w:val="20"/>
          <w:lang w:val="es-ES" w:eastAsia="es-ES"/>
        </w:rPr>
        <w:t>CONSIDERANDO</w:t>
      </w:r>
    </w:p>
    <w:p w:rsidR="00C9129E" w:rsidRDefault="00C9129E" w:rsidP="005879C1">
      <w:pPr>
        <w:pStyle w:val="Style21"/>
        <w:numPr>
          <w:ilvl w:val="0"/>
          <w:numId w:val="7"/>
        </w:numPr>
        <w:tabs>
          <w:tab w:val="clear" w:pos="432"/>
          <w:tab w:val="num" w:pos="504"/>
          <w:tab w:val="left" w:pos="1458"/>
        </w:tabs>
        <w:kinsoku w:val="0"/>
        <w:autoSpaceDE/>
        <w:autoSpaceDN/>
        <w:adjustRightInd/>
        <w:spacing w:before="540"/>
        <w:jc w:val="both"/>
        <w:rPr>
          <w:rFonts w:ascii="Verdana" w:hAnsi="Verdana" w:cs="Verdana"/>
          <w:spacing w:val="3"/>
          <w:sz w:val="20"/>
          <w:szCs w:val="20"/>
          <w:lang w:val="es-ES" w:eastAsia="es-ES"/>
        </w:rPr>
      </w:pPr>
      <w:r>
        <w:rPr>
          <w:rFonts w:ascii="Verdana" w:hAnsi="Verdana" w:cs="Verdana"/>
          <w:b/>
          <w:bCs/>
          <w:spacing w:val="-8"/>
          <w:w w:val="105"/>
          <w:sz w:val="20"/>
          <w:szCs w:val="20"/>
          <w:lang w:val="es-ES" w:eastAsia="es-ES"/>
        </w:rPr>
        <w:t xml:space="preserve">SOBRE LA COMPETENCIA: </w:t>
      </w:r>
      <w:r>
        <w:rPr>
          <w:rFonts w:ascii="Verdana" w:hAnsi="Verdana" w:cs="Verdana"/>
          <w:spacing w:val="-8"/>
          <w:sz w:val="20"/>
          <w:szCs w:val="20"/>
          <w:lang w:val="es-ES" w:eastAsia="es-ES"/>
        </w:rPr>
        <w:t xml:space="preserve">El TRIBUNAL ADMINISTRATIVO DE TRANSPORTE </w:t>
      </w:r>
      <w:r>
        <w:rPr>
          <w:rFonts w:ascii="Verdana" w:hAnsi="Verdana" w:cs="Verdana"/>
          <w:spacing w:val="3"/>
          <w:sz w:val="20"/>
          <w:szCs w:val="20"/>
          <w:lang w:val="es-ES" w:eastAsia="es-ES"/>
        </w:rPr>
        <w:t xml:space="preserve">es el órgano competente para conocer y resolver el presente RECURSO DE </w:t>
      </w:r>
      <w:r>
        <w:rPr>
          <w:rFonts w:ascii="Verdana" w:hAnsi="Verdana" w:cs="Verdana"/>
          <w:spacing w:val="-18"/>
          <w:sz w:val="20"/>
          <w:szCs w:val="20"/>
          <w:lang w:val="es-ES" w:eastAsia="es-ES"/>
        </w:rPr>
        <w:t>APELACIÓN,</w:t>
      </w:r>
      <w:r>
        <w:rPr>
          <w:rFonts w:ascii="Verdana" w:hAnsi="Verdana" w:cs="Verdana"/>
          <w:spacing w:val="-18"/>
          <w:sz w:val="20"/>
          <w:szCs w:val="20"/>
          <w:lang w:val="es-ES" w:eastAsia="es-ES"/>
        </w:rPr>
        <w:tab/>
      </w:r>
      <w:r>
        <w:rPr>
          <w:rFonts w:ascii="Verdana" w:hAnsi="Verdana" w:cs="Verdana"/>
          <w:spacing w:val="10"/>
          <w:sz w:val="20"/>
          <w:szCs w:val="20"/>
          <w:lang w:val="es-ES" w:eastAsia="es-ES"/>
        </w:rPr>
        <w:t>de conformidad con el Artículo 22 de la Ley Reguladora del</w:t>
      </w:r>
      <w:r>
        <w:rPr>
          <w:rFonts w:ascii="Verdana" w:hAnsi="Verdana" w:cs="Verdana"/>
          <w:spacing w:val="10"/>
          <w:sz w:val="20"/>
          <w:szCs w:val="20"/>
          <w:lang w:val="es-ES" w:eastAsia="es-ES"/>
        </w:rPr>
        <w:br/>
      </w:r>
      <w:r>
        <w:rPr>
          <w:rFonts w:ascii="Verdana" w:hAnsi="Verdana" w:cs="Verdana"/>
          <w:spacing w:val="2"/>
          <w:sz w:val="20"/>
          <w:szCs w:val="20"/>
          <w:lang w:val="es-ES" w:eastAsia="es-ES"/>
        </w:rPr>
        <w:t xml:space="preserve">Servicio Público de Transporte Remunerado de Personas en Vehículos en la </w:t>
      </w:r>
      <w:r>
        <w:rPr>
          <w:rFonts w:ascii="Verdana" w:hAnsi="Verdana" w:cs="Verdana"/>
          <w:spacing w:val="3"/>
          <w:sz w:val="20"/>
          <w:szCs w:val="20"/>
          <w:lang w:val="es-ES" w:eastAsia="es-ES"/>
        </w:rPr>
        <w:t>Modalidad de Taxi, N. 7969 de 22 de diciembre de 1999.</w:t>
      </w:r>
    </w:p>
    <w:p w:rsidR="00C9129E" w:rsidRDefault="00C9129E" w:rsidP="005879C1">
      <w:pPr>
        <w:pStyle w:val="Style21"/>
        <w:numPr>
          <w:ilvl w:val="0"/>
          <w:numId w:val="7"/>
        </w:numPr>
        <w:tabs>
          <w:tab w:val="clear" w:pos="432"/>
          <w:tab w:val="num" w:pos="504"/>
        </w:tabs>
        <w:kinsoku w:val="0"/>
        <w:autoSpaceDE/>
        <w:autoSpaceDN/>
        <w:adjustRightInd/>
        <w:spacing w:before="540"/>
        <w:jc w:val="both"/>
        <w:rPr>
          <w:rFonts w:ascii="Verdana" w:hAnsi="Verdana" w:cs="Verdana"/>
          <w:spacing w:val="4"/>
          <w:sz w:val="20"/>
          <w:szCs w:val="20"/>
          <w:lang w:val="es-ES" w:eastAsia="es-ES"/>
        </w:rPr>
      </w:pPr>
      <w:r>
        <w:rPr>
          <w:rFonts w:ascii="Verdana" w:hAnsi="Verdana" w:cs="Verdana"/>
          <w:b/>
          <w:bCs/>
          <w:spacing w:val="8"/>
          <w:w w:val="105"/>
          <w:sz w:val="20"/>
          <w:szCs w:val="20"/>
          <w:lang w:val="es-ES" w:eastAsia="es-ES"/>
        </w:rPr>
        <w:t xml:space="preserve">SOBRE LA ADMISIBILIDAD DEL RECURSO: </w:t>
      </w:r>
      <w:r>
        <w:rPr>
          <w:rFonts w:ascii="Verdana" w:hAnsi="Verdana" w:cs="Verdana"/>
          <w:b/>
          <w:bCs/>
          <w:spacing w:val="8"/>
          <w:w w:val="105"/>
          <w:sz w:val="20"/>
          <w:szCs w:val="20"/>
          <w:u w:val="single"/>
          <w:lang w:val="es-ES" w:eastAsia="es-ES"/>
        </w:rPr>
        <w:t>Legitimación:</w:t>
      </w:r>
      <w:r>
        <w:rPr>
          <w:rFonts w:ascii="Verdana" w:hAnsi="Verdana" w:cs="Verdana"/>
          <w:spacing w:val="8"/>
          <w:sz w:val="20"/>
          <w:szCs w:val="20"/>
          <w:lang w:val="es-ES" w:eastAsia="es-ES"/>
        </w:rPr>
        <w:t xml:space="preserve"> El </w:t>
      </w:r>
      <w:r>
        <w:rPr>
          <w:rFonts w:ascii="Verdana" w:hAnsi="Verdana" w:cs="Verdana"/>
          <w:spacing w:val="9"/>
          <w:sz w:val="20"/>
          <w:szCs w:val="20"/>
          <w:lang w:val="es-ES" w:eastAsia="es-ES"/>
        </w:rPr>
        <w:t xml:space="preserve">recurrente señor </w:t>
      </w:r>
      <w:r>
        <w:rPr>
          <w:rFonts w:ascii="Verdana" w:hAnsi="Verdana" w:cs="Verdana"/>
          <w:b/>
          <w:bCs/>
          <w:spacing w:val="9"/>
          <w:sz w:val="18"/>
          <w:szCs w:val="18"/>
          <w:lang w:val="es-ES" w:eastAsia="es-ES"/>
        </w:rPr>
        <w:t>D</w:t>
      </w:r>
      <w:r w:rsidR="00B17A12">
        <w:rPr>
          <w:rFonts w:ascii="Verdana" w:hAnsi="Verdana" w:cs="Verdana"/>
          <w:b/>
          <w:bCs/>
          <w:spacing w:val="9"/>
          <w:sz w:val="18"/>
          <w:szCs w:val="18"/>
          <w:lang w:val="es-ES" w:eastAsia="es-ES"/>
        </w:rPr>
        <w:t>.</w:t>
      </w:r>
      <w:r>
        <w:rPr>
          <w:rFonts w:ascii="Verdana" w:hAnsi="Verdana" w:cs="Verdana"/>
          <w:b/>
          <w:bCs/>
          <w:spacing w:val="9"/>
          <w:sz w:val="18"/>
          <w:szCs w:val="18"/>
          <w:lang w:val="es-ES" w:eastAsia="es-ES"/>
        </w:rPr>
        <w:t>A</w:t>
      </w:r>
      <w:r w:rsidR="00B17A12">
        <w:rPr>
          <w:rFonts w:ascii="Verdana" w:hAnsi="Verdana" w:cs="Verdana"/>
          <w:b/>
          <w:bCs/>
          <w:spacing w:val="9"/>
          <w:sz w:val="18"/>
          <w:szCs w:val="18"/>
          <w:lang w:val="es-ES" w:eastAsia="es-ES"/>
        </w:rPr>
        <w:t>.</w:t>
      </w:r>
      <w:r>
        <w:rPr>
          <w:rFonts w:ascii="Verdana" w:hAnsi="Verdana" w:cs="Verdana"/>
          <w:b/>
          <w:bCs/>
          <w:spacing w:val="9"/>
          <w:sz w:val="18"/>
          <w:szCs w:val="18"/>
          <w:lang w:val="es-ES" w:eastAsia="es-ES"/>
        </w:rPr>
        <w:t>S</w:t>
      </w:r>
      <w:r w:rsidR="00B17A12">
        <w:rPr>
          <w:rFonts w:ascii="Verdana" w:hAnsi="Verdana" w:cs="Verdana"/>
          <w:b/>
          <w:bCs/>
          <w:spacing w:val="9"/>
          <w:sz w:val="18"/>
          <w:szCs w:val="18"/>
          <w:lang w:val="es-ES" w:eastAsia="es-ES"/>
        </w:rPr>
        <w:t>.</w:t>
      </w:r>
      <w:r>
        <w:rPr>
          <w:rFonts w:ascii="Verdana" w:hAnsi="Verdana" w:cs="Verdana"/>
          <w:b/>
          <w:bCs/>
          <w:spacing w:val="9"/>
          <w:sz w:val="18"/>
          <w:szCs w:val="18"/>
          <w:lang w:val="es-ES" w:eastAsia="es-ES"/>
        </w:rPr>
        <w:t>V</w:t>
      </w:r>
      <w:r w:rsidR="00B17A12">
        <w:rPr>
          <w:rFonts w:ascii="Verdana" w:hAnsi="Verdana" w:cs="Verdana"/>
          <w:b/>
          <w:bCs/>
          <w:spacing w:val="9"/>
          <w:sz w:val="18"/>
          <w:szCs w:val="18"/>
          <w:lang w:val="es-ES" w:eastAsia="es-ES"/>
        </w:rPr>
        <w:t>.</w:t>
      </w:r>
      <w:r>
        <w:rPr>
          <w:rFonts w:ascii="Verdana" w:hAnsi="Verdana" w:cs="Verdana"/>
          <w:b/>
          <w:bCs/>
          <w:spacing w:val="9"/>
          <w:sz w:val="18"/>
          <w:szCs w:val="18"/>
          <w:lang w:val="es-ES" w:eastAsia="es-ES"/>
        </w:rPr>
        <w:t xml:space="preserve">, </w:t>
      </w:r>
      <w:r>
        <w:rPr>
          <w:rFonts w:ascii="Verdana" w:hAnsi="Verdana" w:cs="Verdana"/>
          <w:spacing w:val="9"/>
          <w:sz w:val="20"/>
          <w:szCs w:val="20"/>
          <w:lang w:val="es-ES" w:eastAsia="es-ES"/>
        </w:rPr>
        <w:t xml:space="preserve">es oferente del </w:t>
      </w:r>
      <w:r>
        <w:rPr>
          <w:rFonts w:ascii="Verdana" w:hAnsi="Verdana" w:cs="Verdana"/>
          <w:spacing w:val="3"/>
          <w:sz w:val="20"/>
          <w:szCs w:val="20"/>
          <w:lang w:val="es-ES" w:eastAsia="es-ES"/>
        </w:rPr>
        <w:t xml:space="preserve">concurso público, para la adjudicación de 1034 placas de Taxi de vehículos </w:t>
      </w:r>
      <w:r>
        <w:rPr>
          <w:rFonts w:ascii="Verdana" w:hAnsi="Verdana" w:cs="Verdana"/>
          <w:spacing w:val="6"/>
          <w:sz w:val="20"/>
          <w:szCs w:val="20"/>
          <w:lang w:val="es-ES" w:eastAsia="es-ES"/>
        </w:rPr>
        <w:t xml:space="preserve">adaptados para personas con discapacidad y mediante el </w:t>
      </w:r>
      <w:r>
        <w:rPr>
          <w:rFonts w:ascii="Verdana" w:hAnsi="Verdana" w:cs="Verdana"/>
          <w:b/>
          <w:bCs/>
          <w:spacing w:val="6"/>
          <w:w w:val="105"/>
          <w:sz w:val="20"/>
          <w:szCs w:val="20"/>
          <w:lang w:val="es-ES" w:eastAsia="es-ES"/>
        </w:rPr>
        <w:t xml:space="preserve">Artículo 3.3 de </w:t>
      </w:r>
      <w:r>
        <w:rPr>
          <w:rFonts w:ascii="Verdana" w:hAnsi="Verdana" w:cs="Verdana"/>
          <w:b/>
          <w:bCs/>
          <w:spacing w:val="10"/>
          <w:w w:val="105"/>
          <w:sz w:val="20"/>
          <w:szCs w:val="20"/>
          <w:lang w:val="es-ES" w:eastAsia="es-ES"/>
        </w:rPr>
        <w:t xml:space="preserve">la Sesión Ordinaria N. 37-2011 </w:t>
      </w:r>
      <w:r>
        <w:rPr>
          <w:rFonts w:ascii="Verdana" w:hAnsi="Verdana" w:cs="Verdana"/>
          <w:spacing w:val="10"/>
          <w:sz w:val="20"/>
          <w:szCs w:val="20"/>
          <w:lang w:val="es-ES" w:eastAsia="es-ES"/>
        </w:rPr>
        <w:t xml:space="preserve">de 26 de mayo de 2011, la JUNTA </w:t>
      </w:r>
      <w:r>
        <w:rPr>
          <w:rFonts w:ascii="Verdana" w:hAnsi="Verdana" w:cs="Verdana"/>
          <w:spacing w:val="-10"/>
          <w:sz w:val="20"/>
          <w:szCs w:val="20"/>
          <w:lang w:val="es-ES" w:eastAsia="es-ES"/>
        </w:rPr>
        <w:t xml:space="preserve">DIRECTIVA DEL CONSEJO DE TRANSPORTE PÚBLICO, conoce y aprueba el oficio </w:t>
      </w:r>
      <w:r>
        <w:rPr>
          <w:rFonts w:ascii="Verdana" w:hAnsi="Verdana" w:cs="Verdana"/>
          <w:b/>
          <w:bCs/>
          <w:spacing w:val="-10"/>
          <w:w w:val="105"/>
          <w:sz w:val="20"/>
          <w:szCs w:val="20"/>
          <w:lang w:val="es-ES" w:eastAsia="es-ES"/>
        </w:rPr>
        <w:t>DE-</w:t>
      </w:r>
      <w:r>
        <w:rPr>
          <w:rFonts w:ascii="Verdana" w:hAnsi="Verdana" w:cs="Verdana"/>
          <w:b/>
          <w:bCs/>
          <w:spacing w:val="1"/>
          <w:w w:val="105"/>
          <w:sz w:val="20"/>
          <w:szCs w:val="20"/>
          <w:lang w:val="es-ES" w:eastAsia="es-ES"/>
        </w:rPr>
        <w:t xml:space="preserve">2011-1345 </w:t>
      </w:r>
      <w:r>
        <w:rPr>
          <w:rFonts w:ascii="Verdana" w:hAnsi="Verdana" w:cs="Verdana"/>
          <w:spacing w:val="1"/>
          <w:sz w:val="20"/>
          <w:szCs w:val="20"/>
          <w:lang w:val="es-ES" w:eastAsia="es-ES"/>
        </w:rPr>
        <w:t xml:space="preserve">de la Comisión encargada del Análisis y Recomendación, que le </w:t>
      </w:r>
      <w:r>
        <w:rPr>
          <w:rFonts w:ascii="Verdana" w:hAnsi="Verdana" w:cs="Verdana"/>
          <w:spacing w:val="8"/>
          <w:sz w:val="20"/>
          <w:szCs w:val="20"/>
          <w:lang w:val="es-ES" w:eastAsia="es-ES"/>
        </w:rPr>
        <w:t xml:space="preserve">otorga al recurrente una calificación de 40 Puntos, lo cual lo dejaría sin </w:t>
      </w:r>
      <w:r>
        <w:rPr>
          <w:rFonts w:ascii="Verdana" w:hAnsi="Verdana" w:cs="Verdana"/>
          <w:spacing w:val="5"/>
          <w:sz w:val="20"/>
          <w:szCs w:val="20"/>
          <w:lang w:val="es-ES" w:eastAsia="es-ES"/>
        </w:rPr>
        <w:t xml:space="preserve">posibilidades de adjudicación razón por la cual cuenta con la legitimación </w:t>
      </w:r>
      <w:r>
        <w:rPr>
          <w:rFonts w:ascii="Verdana" w:hAnsi="Verdana" w:cs="Verdana"/>
          <w:spacing w:val="10"/>
          <w:sz w:val="20"/>
          <w:szCs w:val="20"/>
          <w:lang w:val="es-ES" w:eastAsia="es-ES"/>
        </w:rPr>
        <w:t xml:space="preserve">necesaria para actuar en el presente asunto. </w:t>
      </w:r>
      <w:r>
        <w:rPr>
          <w:rFonts w:ascii="Verdana" w:hAnsi="Verdana" w:cs="Verdana"/>
          <w:b/>
          <w:bCs/>
          <w:spacing w:val="10"/>
          <w:w w:val="105"/>
          <w:sz w:val="20"/>
          <w:szCs w:val="20"/>
          <w:u w:val="single"/>
          <w:lang w:val="es-ES" w:eastAsia="es-ES"/>
        </w:rPr>
        <w:t>En cuanto al plazo:</w:t>
      </w:r>
      <w:r>
        <w:rPr>
          <w:rFonts w:ascii="Verdana" w:hAnsi="Verdana" w:cs="Verdana"/>
          <w:spacing w:val="10"/>
          <w:sz w:val="20"/>
          <w:szCs w:val="20"/>
          <w:lang w:val="es-ES" w:eastAsia="es-ES"/>
        </w:rPr>
        <w:t xml:space="preserve"> El </w:t>
      </w:r>
      <w:r>
        <w:rPr>
          <w:rFonts w:ascii="Verdana" w:hAnsi="Verdana" w:cs="Verdana"/>
          <w:spacing w:val="6"/>
          <w:sz w:val="20"/>
          <w:szCs w:val="20"/>
          <w:lang w:val="es-ES" w:eastAsia="es-ES"/>
        </w:rPr>
        <w:t xml:space="preserve">Recurso de Apelación fue presentado dentro del plazo legal de cinco días </w:t>
      </w:r>
      <w:r>
        <w:rPr>
          <w:rFonts w:ascii="Verdana" w:hAnsi="Verdana" w:cs="Verdana"/>
          <w:spacing w:val="4"/>
          <w:sz w:val="20"/>
          <w:szCs w:val="20"/>
          <w:lang w:val="es-ES" w:eastAsia="es-ES"/>
        </w:rPr>
        <w:t>establecido en el Artículo 11 de la Ley N. 7969.</w:t>
      </w:r>
    </w:p>
    <w:p w:rsidR="00C9129E" w:rsidRDefault="00C9129E">
      <w:pPr>
        <w:pStyle w:val="Style21"/>
        <w:numPr>
          <w:ilvl w:val="0"/>
          <w:numId w:val="7"/>
        </w:numPr>
        <w:tabs>
          <w:tab w:val="clear" w:pos="432"/>
          <w:tab w:val="num" w:pos="504"/>
        </w:tabs>
        <w:kinsoku w:val="0"/>
        <w:autoSpaceDE/>
        <w:autoSpaceDN/>
        <w:adjustRightInd/>
        <w:spacing w:before="504" w:after="540"/>
        <w:jc w:val="both"/>
        <w:rPr>
          <w:rFonts w:ascii="Verdana" w:hAnsi="Verdana" w:cs="Verdana"/>
          <w:i/>
          <w:iCs/>
          <w:spacing w:val="-2"/>
          <w:w w:val="110"/>
          <w:sz w:val="20"/>
          <w:szCs w:val="20"/>
          <w:lang w:val="es-ES" w:eastAsia="es-ES"/>
        </w:rPr>
      </w:pPr>
      <w:r>
        <w:rPr>
          <w:rFonts w:ascii="Verdana" w:hAnsi="Verdana" w:cs="Verdana"/>
          <w:b/>
          <w:bCs/>
          <w:w w:val="105"/>
          <w:sz w:val="20"/>
          <w:szCs w:val="20"/>
          <w:lang w:val="es-ES" w:eastAsia="es-ES"/>
        </w:rPr>
        <w:t>HECHOS PROBADOS DE IMPORTANCIA PARA ESTE ASUNTO: A).-</w:t>
      </w:r>
      <w:r>
        <w:rPr>
          <w:rFonts w:ascii="Verdana" w:hAnsi="Verdana" w:cs="Verdana"/>
          <w:spacing w:val="9"/>
          <w:sz w:val="20"/>
          <w:szCs w:val="20"/>
          <w:lang w:val="es-ES" w:eastAsia="es-ES"/>
        </w:rPr>
        <w:t xml:space="preserve">El Consejo de Transporte Público publicó el cartel para participar en la </w:t>
      </w:r>
      <w:r>
        <w:rPr>
          <w:rFonts w:ascii="Verdana" w:hAnsi="Verdana" w:cs="Verdana"/>
          <w:spacing w:val="2"/>
          <w:sz w:val="20"/>
          <w:szCs w:val="20"/>
          <w:lang w:val="es-ES" w:eastAsia="es-ES"/>
        </w:rPr>
        <w:t xml:space="preserve">Licitación Pública cuyo objeto fue otorgar la concesión de 1034 placas para </w:t>
      </w:r>
      <w:r>
        <w:rPr>
          <w:rFonts w:ascii="Verdana" w:hAnsi="Verdana" w:cs="Verdana"/>
          <w:spacing w:val="13"/>
          <w:sz w:val="20"/>
          <w:szCs w:val="20"/>
          <w:lang w:val="es-ES" w:eastAsia="es-ES"/>
        </w:rPr>
        <w:t xml:space="preserve">Transporte Público en Modalidad Taxi, con Vehículos Adaptados para </w:t>
      </w:r>
      <w:r>
        <w:rPr>
          <w:rFonts w:ascii="Verdana" w:hAnsi="Verdana" w:cs="Verdana"/>
          <w:sz w:val="20"/>
          <w:szCs w:val="20"/>
          <w:lang w:val="es-ES" w:eastAsia="es-ES"/>
        </w:rPr>
        <w:t xml:space="preserve">Personas con Discapacidad, </w:t>
      </w:r>
      <w:r>
        <w:rPr>
          <w:rFonts w:ascii="Verdana" w:hAnsi="Verdana" w:cs="Verdana"/>
          <w:b/>
          <w:bCs/>
          <w:w w:val="105"/>
          <w:sz w:val="20"/>
          <w:szCs w:val="20"/>
          <w:u w:val="single"/>
          <w:lang w:val="es-ES" w:eastAsia="es-ES"/>
        </w:rPr>
        <w:t xml:space="preserve">mediante Decreto Ejecutivo 35448-MOPT, </w:t>
      </w:r>
      <w:r>
        <w:rPr>
          <w:rFonts w:ascii="Verdana" w:hAnsi="Verdana" w:cs="Verdana"/>
          <w:spacing w:val="2"/>
          <w:sz w:val="20"/>
          <w:szCs w:val="20"/>
          <w:lang w:val="es-ES" w:eastAsia="es-ES"/>
        </w:rPr>
        <w:t xml:space="preserve">publicado en La Gaceta No. 165 del 25 de agosto del 2009. </w:t>
      </w:r>
      <w:r>
        <w:rPr>
          <w:rFonts w:ascii="Verdana" w:hAnsi="Verdana" w:cs="Verdana"/>
          <w:b/>
          <w:bCs/>
          <w:spacing w:val="2"/>
          <w:w w:val="105"/>
          <w:sz w:val="20"/>
          <w:szCs w:val="20"/>
          <w:lang w:val="es-ES" w:eastAsia="es-ES"/>
        </w:rPr>
        <w:t xml:space="preserve">B).- </w:t>
      </w:r>
      <w:r>
        <w:rPr>
          <w:rFonts w:ascii="Verdana" w:hAnsi="Verdana" w:cs="Verdana"/>
          <w:spacing w:val="2"/>
          <w:sz w:val="20"/>
          <w:szCs w:val="20"/>
          <w:lang w:val="es-ES" w:eastAsia="es-ES"/>
        </w:rPr>
        <w:t xml:space="preserve">El Decreto </w:t>
      </w:r>
      <w:r>
        <w:rPr>
          <w:rFonts w:ascii="Verdana" w:hAnsi="Verdana" w:cs="Verdana"/>
          <w:spacing w:val="9"/>
          <w:sz w:val="20"/>
          <w:szCs w:val="20"/>
          <w:lang w:val="es-ES" w:eastAsia="es-ES"/>
        </w:rPr>
        <w:t xml:space="preserve">Ejecutivo 35448-MOPT </w:t>
      </w:r>
      <w:r>
        <w:rPr>
          <w:rFonts w:ascii="Verdana" w:hAnsi="Verdana" w:cs="Verdana"/>
          <w:b/>
          <w:bCs/>
          <w:spacing w:val="9"/>
          <w:w w:val="105"/>
          <w:sz w:val="20"/>
          <w:szCs w:val="20"/>
          <w:u w:val="single"/>
          <w:lang w:val="es-ES" w:eastAsia="es-ES"/>
        </w:rPr>
        <w:t>fue modificado</w:t>
      </w:r>
      <w:r>
        <w:rPr>
          <w:rFonts w:ascii="Verdana" w:hAnsi="Verdana" w:cs="Verdana"/>
          <w:spacing w:val="9"/>
          <w:sz w:val="20"/>
          <w:szCs w:val="20"/>
          <w:lang w:val="es-ES" w:eastAsia="es-ES"/>
        </w:rPr>
        <w:t xml:space="preserve"> por los </w:t>
      </w:r>
      <w:r>
        <w:rPr>
          <w:rFonts w:ascii="Verdana" w:hAnsi="Verdana" w:cs="Verdana"/>
          <w:b/>
          <w:bCs/>
          <w:spacing w:val="9"/>
          <w:w w:val="105"/>
          <w:sz w:val="20"/>
          <w:szCs w:val="20"/>
          <w:lang w:val="es-ES" w:eastAsia="es-ES"/>
        </w:rPr>
        <w:t xml:space="preserve">Decretos Ejecutivos </w:t>
      </w:r>
      <w:r>
        <w:rPr>
          <w:rFonts w:ascii="Verdana" w:hAnsi="Verdana" w:cs="Verdana"/>
          <w:b/>
          <w:bCs/>
          <w:spacing w:val="4"/>
          <w:w w:val="105"/>
          <w:sz w:val="20"/>
          <w:szCs w:val="20"/>
          <w:lang w:val="es-ES" w:eastAsia="es-ES"/>
        </w:rPr>
        <w:t xml:space="preserve">35875-MOPT y 35985-MOPT, </w:t>
      </w:r>
      <w:r>
        <w:rPr>
          <w:rFonts w:ascii="Verdana" w:hAnsi="Verdana" w:cs="Verdana"/>
          <w:spacing w:val="4"/>
          <w:sz w:val="20"/>
          <w:szCs w:val="20"/>
          <w:lang w:val="es-ES" w:eastAsia="es-ES"/>
        </w:rPr>
        <w:t xml:space="preserve">publicados respectivamente el 12 de abril </w:t>
      </w:r>
      <w:r>
        <w:rPr>
          <w:rFonts w:ascii="Verdana" w:hAnsi="Verdana" w:cs="Verdana"/>
          <w:spacing w:val="7"/>
          <w:sz w:val="20"/>
          <w:szCs w:val="20"/>
          <w:lang w:val="es-ES" w:eastAsia="es-ES"/>
        </w:rPr>
        <w:t xml:space="preserve">del 2010 en La Gaceta No. 69 y el 21 de mayo del 2010 en la Gaceta No. </w:t>
      </w:r>
      <w:r>
        <w:rPr>
          <w:rFonts w:ascii="Verdana" w:hAnsi="Verdana" w:cs="Verdana"/>
          <w:spacing w:val="3"/>
          <w:sz w:val="20"/>
          <w:szCs w:val="20"/>
          <w:lang w:val="es-ES" w:eastAsia="es-ES"/>
        </w:rPr>
        <w:t xml:space="preserve">98. </w:t>
      </w:r>
      <w:r>
        <w:rPr>
          <w:rFonts w:ascii="Verdana" w:hAnsi="Verdana" w:cs="Verdana"/>
          <w:b/>
          <w:bCs/>
          <w:spacing w:val="3"/>
          <w:w w:val="105"/>
          <w:sz w:val="20"/>
          <w:szCs w:val="20"/>
          <w:lang w:val="es-ES" w:eastAsia="es-ES"/>
        </w:rPr>
        <w:t xml:space="preserve">C). </w:t>
      </w:r>
      <w:r>
        <w:rPr>
          <w:rFonts w:ascii="Verdana" w:hAnsi="Verdana" w:cs="Verdana"/>
          <w:spacing w:val="3"/>
          <w:sz w:val="20"/>
          <w:szCs w:val="20"/>
          <w:lang w:val="es-ES" w:eastAsia="es-ES"/>
        </w:rPr>
        <w:t xml:space="preserve">El Decreto Ejecutivo 35875-MOPT modifica el </w:t>
      </w:r>
      <w:r>
        <w:rPr>
          <w:rFonts w:ascii="Verdana" w:hAnsi="Verdana" w:cs="Verdana"/>
          <w:b/>
          <w:bCs/>
          <w:spacing w:val="3"/>
          <w:w w:val="105"/>
          <w:sz w:val="20"/>
          <w:szCs w:val="20"/>
          <w:u w:val="single"/>
          <w:lang w:val="es-ES" w:eastAsia="es-ES"/>
        </w:rPr>
        <w:t xml:space="preserve">Decreto Ejecutivo  </w:t>
      </w:r>
      <w:r>
        <w:rPr>
          <w:rFonts w:ascii="Verdana" w:hAnsi="Verdana" w:cs="Verdana"/>
          <w:b/>
          <w:bCs/>
          <w:spacing w:val="-1"/>
          <w:w w:val="105"/>
          <w:sz w:val="20"/>
          <w:szCs w:val="20"/>
          <w:u w:val="single"/>
          <w:lang w:val="es-ES" w:eastAsia="es-ES"/>
        </w:rPr>
        <w:t>35448-MOPT</w:t>
      </w:r>
      <w:r>
        <w:rPr>
          <w:rFonts w:ascii="Verdana" w:hAnsi="Verdana" w:cs="Verdana"/>
          <w:spacing w:val="-1"/>
          <w:sz w:val="20"/>
          <w:szCs w:val="20"/>
          <w:lang w:val="es-ES" w:eastAsia="es-ES"/>
        </w:rPr>
        <w:t xml:space="preserve"> en sus artículos 4 y 6. </w:t>
      </w:r>
      <w:r>
        <w:rPr>
          <w:rFonts w:ascii="Verdana" w:hAnsi="Verdana" w:cs="Verdana"/>
          <w:b/>
          <w:bCs/>
          <w:spacing w:val="-1"/>
          <w:w w:val="105"/>
          <w:sz w:val="20"/>
          <w:szCs w:val="20"/>
          <w:lang w:val="es-ES" w:eastAsia="es-ES"/>
        </w:rPr>
        <w:t xml:space="preserve">D).- </w:t>
      </w:r>
      <w:r>
        <w:rPr>
          <w:rFonts w:ascii="Verdana" w:hAnsi="Verdana" w:cs="Verdana"/>
          <w:spacing w:val="-1"/>
          <w:sz w:val="20"/>
          <w:szCs w:val="20"/>
          <w:lang w:val="es-ES" w:eastAsia="es-ES"/>
        </w:rPr>
        <w:t xml:space="preserve">El Decreto Ejecutivo 35985-MOPT modifica el </w:t>
      </w:r>
      <w:r>
        <w:rPr>
          <w:rFonts w:ascii="Verdana" w:hAnsi="Verdana" w:cs="Verdana"/>
          <w:b/>
          <w:bCs/>
          <w:spacing w:val="-1"/>
          <w:w w:val="105"/>
          <w:sz w:val="20"/>
          <w:szCs w:val="20"/>
          <w:u w:val="single"/>
          <w:lang w:val="es-ES" w:eastAsia="es-ES"/>
        </w:rPr>
        <w:t xml:space="preserve">Decreto Ejecutivo 35448-MOPT </w:t>
      </w:r>
      <w:r>
        <w:rPr>
          <w:rFonts w:ascii="Verdana" w:hAnsi="Verdana" w:cs="Verdana"/>
          <w:spacing w:val="-1"/>
          <w:sz w:val="20"/>
          <w:szCs w:val="20"/>
          <w:lang w:val="es-ES" w:eastAsia="es-ES"/>
        </w:rPr>
        <w:t xml:space="preserve"> en su artículo 8, mediante el </w:t>
      </w:r>
      <w:r>
        <w:rPr>
          <w:rFonts w:ascii="Verdana" w:hAnsi="Verdana" w:cs="Verdana"/>
          <w:sz w:val="20"/>
          <w:szCs w:val="20"/>
          <w:lang w:val="es-ES" w:eastAsia="es-ES"/>
        </w:rPr>
        <w:t xml:space="preserve">artículo 17 el cual señala lo siguiente: </w:t>
      </w:r>
      <w:r>
        <w:rPr>
          <w:rFonts w:ascii="Verdana" w:hAnsi="Verdana" w:cs="Verdana"/>
          <w:i/>
          <w:iCs/>
          <w:w w:val="110"/>
          <w:sz w:val="20"/>
          <w:szCs w:val="20"/>
          <w:lang w:val="es-ES" w:eastAsia="es-ES"/>
        </w:rPr>
        <w:t>"Artículo 17</w:t>
      </w:r>
      <w:proofErr w:type="gramStart"/>
      <w:r>
        <w:rPr>
          <w:rFonts w:ascii="Verdana" w:hAnsi="Verdana" w:cs="Verdana"/>
          <w:i/>
          <w:iCs/>
          <w:w w:val="110"/>
          <w:sz w:val="20"/>
          <w:szCs w:val="20"/>
          <w:lang w:val="es-ES" w:eastAsia="es-ES"/>
        </w:rPr>
        <w:t>.—</w:t>
      </w:r>
      <w:proofErr w:type="gramEnd"/>
      <w:r>
        <w:rPr>
          <w:rFonts w:ascii="Verdana" w:hAnsi="Verdana" w:cs="Verdana"/>
          <w:i/>
          <w:iCs/>
          <w:w w:val="110"/>
          <w:sz w:val="20"/>
          <w:szCs w:val="20"/>
          <w:lang w:val="es-ES" w:eastAsia="es-ES"/>
        </w:rPr>
        <w:t xml:space="preserve">Modifíquese el artículo </w:t>
      </w:r>
      <w:r>
        <w:rPr>
          <w:rFonts w:ascii="Verdana" w:hAnsi="Verdana" w:cs="Verdana"/>
          <w:i/>
          <w:iCs/>
          <w:spacing w:val="-9"/>
          <w:w w:val="110"/>
          <w:sz w:val="20"/>
          <w:szCs w:val="20"/>
          <w:lang w:val="es-ES" w:eastAsia="es-ES"/>
        </w:rPr>
        <w:t>8</w:t>
      </w:r>
      <w:r>
        <w:rPr>
          <w:rFonts w:ascii="Arial" w:hAnsi="Arial" w:cs="Arial"/>
          <w:i/>
          <w:iCs/>
          <w:spacing w:val="-9"/>
          <w:w w:val="145"/>
          <w:sz w:val="20"/>
          <w:szCs w:val="20"/>
          <w:vertAlign w:val="superscript"/>
          <w:lang w:val="es-ES" w:eastAsia="es-ES"/>
        </w:rPr>
        <w:t>0</w:t>
      </w:r>
      <w:r>
        <w:rPr>
          <w:rFonts w:ascii="Verdana" w:hAnsi="Verdana" w:cs="Verdana"/>
          <w:i/>
          <w:iCs/>
          <w:spacing w:val="-9"/>
          <w:w w:val="110"/>
          <w:sz w:val="20"/>
          <w:szCs w:val="20"/>
          <w:lang w:val="es-ES" w:eastAsia="es-ES"/>
        </w:rPr>
        <w:t xml:space="preserve"> del Decreto Ejecutivo N</w:t>
      </w:r>
      <w:r>
        <w:rPr>
          <w:rFonts w:ascii="Arial" w:hAnsi="Arial" w:cs="Arial"/>
          <w:i/>
          <w:iCs/>
          <w:spacing w:val="-9"/>
          <w:w w:val="145"/>
          <w:sz w:val="20"/>
          <w:szCs w:val="20"/>
          <w:vertAlign w:val="superscript"/>
          <w:lang w:val="es-ES" w:eastAsia="es-ES"/>
        </w:rPr>
        <w:t>0</w:t>
      </w:r>
      <w:r>
        <w:rPr>
          <w:rFonts w:ascii="Verdana" w:hAnsi="Verdana" w:cs="Verdana"/>
          <w:i/>
          <w:iCs/>
          <w:spacing w:val="-9"/>
          <w:w w:val="110"/>
          <w:sz w:val="20"/>
          <w:szCs w:val="20"/>
          <w:lang w:val="es-ES" w:eastAsia="es-ES"/>
        </w:rPr>
        <w:t xml:space="preserve"> 35448-MOPT "Reglamento para participar en la </w:t>
      </w:r>
      <w:r>
        <w:rPr>
          <w:rFonts w:ascii="Verdana" w:hAnsi="Verdana" w:cs="Verdana"/>
          <w:i/>
          <w:iCs/>
          <w:spacing w:val="-1"/>
          <w:w w:val="110"/>
          <w:sz w:val="20"/>
          <w:szCs w:val="20"/>
          <w:lang w:val="es-ES" w:eastAsia="es-ES"/>
        </w:rPr>
        <w:t xml:space="preserve">Licitación Pública tendiente a concesionar 1034 placas para transporte público en modalidad Taxi, con vehículos adaptados para personas con </w:t>
      </w:r>
      <w:r>
        <w:rPr>
          <w:rFonts w:ascii="Verdana" w:hAnsi="Verdana" w:cs="Verdana"/>
          <w:i/>
          <w:iCs/>
          <w:spacing w:val="3"/>
          <w:w w:val="110"/>
          <w:sz w:val="20"/>
          <w:szCs w:val="20"/>
          <w:lang w:val="es-ES" w:eastAsia="es-ES"/>
        </w:rPr>
        <w:t xml:space="preserve">discapacidad" para que en adelante se lea así: Artículo 8°—Tabla </w:t>
      </w:r>
      <w:r>
        <w:rPr>
          <w:rFonts w:ascii="Verdana" w:hAnsi="Verdana" w:cs="Verdana"/>
          <w:b/>
          <w:bCs/>
          <w:i/>
          <w:iCs/>
          <w:spacing w:val="3"/>
          <w:w w:val="105"/>
          <w:sz w:val="19"/>
          <w:szCs w:val="19"/>
          <w:lang w:val="es-ES" w:eastAsia="es-ES"/>
        </w:rPr>
        <w:t xml:space="preserve">de </w:t>
      </w:r>
      <w:r>
        <w:rPr>
          <w:rFonts w:ascii="Verdana" w:hAnsi="Verdana" w:cs="Verdana"/>
          <w:b/>
          <w:bCs/>
          <w:i/>
          <w:iCs/>
          <w:spacing w:val="-2"/>
          <w:w w:val="105"/>
          <w:sz w:val="19"/>
          <w:szCs w:val="19"/>
          <w:lang w:val="es-ES" w:eastAsia="es-ES"/>
        </w:rPr>
        <w:t xml:space="preserve">evaluación de ofertas. </w:t>
      </w:r>
      <w:r>
        <w:rPr>
          <w:rFonts w:ascii="Verdana" w:hAnsi="Verdana" w:cs="Verdana"/>
          <w:i/>
          <w:iCs/>
          <w:spacing w:val="-2"/>
          <w:w w:val="110"/>
          <w:sz w:val="20"/>
          <w:szCs w:val="20"/>
          <w:lang w:val="es-ES" w:eastAsia="es-ES"/>
        </w:rPr>
        <w:t>Las ofertas serán evaluadas de conformidad con el</w:t>
      </w:r>
    </w:p>
    <w:p w:rsidR="00C9129E" w:rsidRDefault="00C9129E">
      <w:pPr>
        <w:pStyle w:val="Style21"/>
        <w:tabs>
          <w:tab w:val="right" w:pos="8035"/>
        </w:tabs>
        <w:kinsoku w:val="0"/>
        <w:autoSpaceDE/>
        <w:autoSpaceDN/>
        <w:adjustRightInd/>
        <w:spacing w:line="213" w:lineRule="exact"/>
        <w:ind w:left="5256"/>
        <w:rPr>
          <w:rFonts w:ascii="Verdana" w:hAnsi="Verdana" w:cs="Verdana"/>
          <w:sz w:val="20"/>
          <w:szCs w:val="20"/>
          <w:lang w:val="es-ES" w:eastAsia="es-ES"/>
        </w:rPr>
      </w:pPr>
    </w:p>
    <w:p w:rsidR="005879C1" w:rsidRDefault="005879C1">
      <w:pPr>
        <w:pStyle w:val="Style21"/>
        <w:kinsoku w:val="0"/>
        <w:autoSpaceDE/>
        <w:autoSpaceDN/>
        <w:adjustRightInd/>
        <w:jc w:val="both"/>
        <w:rPr>
          <w:rFonts w:ascii="Verdana" w:hAnsi="Verdana" w:cs="Verdana"/>
          <w:i/>
          <w:iCs/>
          <w:spacing w:val="7"/>
          <w:w w:val="105"/>
          <w:sz w:val="20"/>
          <w:szCs w:val="20"/>
          <w:lang w:val="es-ES" w:eastAsia="es-ES"/>
        </w:rPr>
      </w:pPr>
    </w:p>
    <w:p w:rsidR="005879C1" w:rsidRDefault="005879C1">
      <w:pPr>
        <w:pStyle w:val="Style21"/>
        <w:kinsoku w:val="0"/>
        <w:autoSpaceDE/>
        <w:autoSpaceDN/>
        <w:adjustRightInd/>
        <w:jc w:val="both"/>
        <w:rPr>
          <w:rFonts w:ascii="Verdana" w:hAnsi="Verdana" w:cs="Verdana"/>
          <w:i/>
          <w:iCs/>
          <w:spacing w:val="7"/>
          <w:w w:val="105"/>
          <w:sz w:val="20"/>
          <w:szCs w:val="20"/>
          <w:lang w:val="es-ES" w:eastAsia="es-ES"/>
        </w:rPr>
      </w:pPr>
    </w:p>
    <w:p w:rsidR="005879C1" w:rsidRDefault="005879C1">
      <w:pPr>
        <w:pStyle w:val="Style21"/>
        <w:kinsoku w:val="0"/>
        <w:autoSpaceDE/>
        <w:autoSpaceDN/>
        <w:adjustRightInd/>
        <w:jc w:val="both"/>
        <w:rPr>
          <w:rFonts w:ascii="Verdana" w:hAnsi="Verdana" w:cs="Verdana"/>
          <w:i/>
          <w:iCs/>
          <w:spacing w:val="7"/>
          <w:w w:val="105"/>
          <w:sz w:val="20"/>
          <w:szCs w:val="20"/>
          <w:lang w:val="es-ES" w:eastAsia="es-ES"/>
        </w:rPr>
      </w:pPr>
    </w:p>
    <w:p w:rsidR="005879C1" w:rsidRDefault="005879C1">
      <w:pPr>
        <w:pStyle w:val="Style21"/>
        <w:kinsoku w:val="0"/>
        <w:autoSpaceDE/>
        <w:autoSpaceDN/>
        <w:adjustRightInd/>
        <w:jc w:val="both"/>
        <w:rPr>
          <w:rFonts w:ascii="Verdana" w:hAnsi="Verdana" w:cs="Verdana"/>
          <w:i/>
          <w:iCs/>
          <w:spacing w:val="7"/>
          <w:w w:val="105"/>
          <w:sz w:val="20"/>
          <w:szCs w:val="20"/>
          <w:lang w:val="es-ES" w:eastAsia="es-ES"/>
        </w:rPr>
      </w:pPr>
    </w:p>
    <w:p w:rsidR="005879C1" w:rsidRDefault="005879C1">
      <w:pPr>
        <w:pStyle w:val="Style21"/>
        <w:kinsoku w:val="0"/>
        <w:autoSpaceDE/>
        <w:autoSpaceDN/>
        <w:adjustRightInd/>
        <w:jc w:val="both"/>
        <w:rPr>
          <w:rFonts w:ascii="Verdana" w:hAnsi="Verdana" w:cs="Verdana"/>
          <w:i/>
          <w:iCs/>
          <w:spacing w:val="7"/>
          <w:w w:val="105"/>
          <w:sz w:val="20"/>
          <w:szCs w:val="20"/>
          <w:lang w:val="es-ES" w:eastAsia="es-ES"/>
        </w:rPr>
      </w:pPr>
    </w:p>
    <w:p w:rsidR="00C9129E" w:rsidRDefault="00C9129E">
      <w:pPr>
        <w:pStyle w:val="Style21"/>
        <w:kinsoku w:val="0"/>
        <w:autoSpaceDE/>
        <w:autoSpaceDN/>
        <w:adjustRightInd/>
        <w:jc w:val="both"/>
        <w:rPr>
          <w:rFonts w:ascii="Verdana" w:hAnsi="Verdana" w:cs="Verdana"/>
          <w:sz w:val="20"/>
          <w:szCs w:val="20"/>
          <w:lang w:val="es-ES" w:eastAsia="es-ES"/>
        </w:rPr>
      </w:pPr>
      <w:proofErr w:type="gramStart"/>
      <w:r>
        <w:rPr>
          <w:rFonts w:ascii="Verdana" w:hAnsi="Verdana" w:cs="Verdana"/>
          <w:i/>
          <w:iCs/>
          <w:spacing w:val="7"/>
          <w:w w:val="105"/>
          <w:sz w:val="20"/>
          <w:szCs w:val="20"/>
          <w:lang w:val="es-ES" w:eastAsia="es-ES"/>
        </w:rPr>
        <w:lastRenderedPageBreak/>
        <w:t>artículo</w:t>
      </w:r>
      <w:proofErr w:type="gramEnd"/>
      <w:r>
        <w:rPr>
          <w:rFonts w:ascii="Verdana" w:hAnsi="Verdana" w:cs="Verdana"/>
          <w:i/>
          <w:iCs/>
          <w:spacing w:val="7"/>
          <w:w w:val="105"/>
          <w:sz w:val="20"/>
          <w:szCs w:val="20"/>
          <w:lang w:val="es-ES" w:eastAsia="es-ES"/>
        </w:rPr>
        <w:t xml:space="preserve"> 33 de la Ley No 7969 "Ley Reguladora del Servicio Público de </w:t>
      </w:r>
      <w:r>
        <w:rPr>
          <w:rFonts w:ascii="Verdana" w:hAnsi="Verdana" w:cs="Verdana"/>
          <w:i/>
          <w:iCs/>
          <w:spacing w:val="-1"/>
          <w:w w:val="105"/>
          <w:sz w:val="20"/>
          <w:szCs w:val="20"/>
          <w:lang w:val="es-ES" w:eastAsia="es-ES"/>
        </w:rPr>
        <w:t xml:space="preserve">Transporte Remunerado de Personas en la Modalidad de Taxi". Transitorio </w:t>
      </w:r>
      <w:r>
        <w:rPr>
          <w:rFonts w:ascii="Verdana" w:hAnsi="Verdana" w:cs="Verdana"/>
          <w:i/>
          <w:iCs/>
          <w:w w:val="105"/>
          <w:sz w:val="20"/>
          <w:szCs w:val="20"/>
          <w:lang w:val="es-ES" w:eastAsia="es-ES"/>
        </w:rPr>
        <w:t xml:space="preserve">único.—El </w:t>
      </w:r>
      <w:r>
        <w:rPr>
          <w:i/>
          <w:iCs/>
          <w:sz w:val="23"/>
          <w:szCs w:val="23"/>
          <w:lang w:val="es-ES" w:eastAsia="es-ES"/>
        </w:rPr>
        <w:t xml:space="preserve">plazo otorgado para la recepción de ofertas indicada en el artículo 4 del </w:t>
      </w:r>
      <w:r>
        <w:rPr>
          <w:i/>
          <w:iCs/>
          <w:spacing w:val="4"/>
          <w:sz w:val="23"/>
          <w:szCs w:val="23"/>
          <w:lang w:val="es-ES" w:eastAsia="es-ES"/>
        </w:rPr>
        <w:t xml:space="preserve">Decreto ejecutivo 35448-MOPT, denominado "Reglamento para participar en la </w:t>
      </w:r>
      <w:r>
        <w:rPr>
          <w:i/>
          <w:iCs/>
          <w:spacing w:val="1"/>
          <w:sz w:val="23"/>
          <w:szCs w:val="23"/>
          <w:lang w:val="es-ES" w:eastAsia="es-ES"/>
        </w:rPr>
        <w:t xml:space="preserve">Licitación Pública tendiente a concesionar 1034 placas para transporte público en </w:t>
      </w:r>
      <w:r>
        <w:rPr>
          <w:i/>
          <w:iCs/>
          <w:spacing w:val="-1"/>
          <w:sz w:val="23"/>
          <w:szCs w:val="23"/>
          <w:lang w:val="es-ES" w:eastAsia="es-ES"/>
        </w:rPr>
        <w:t xml:space="preserve">modalidad Taxi, con vehículos adaptados para personas con discapacidad" iniciará a </w:t>
      </w:r>
      <w:r>
        <w:rPr>
          <w:i/>
          <w:iCs/>
          <w:spacing w:val="2"/>
          <w:sz w:val="23"/>
          <w:szCs w:val="23"/>
          <w:lang w:val="es-ES" w:eastAsia="es-ES"/>
        </w:rPr>
        <w:t xml:space="preserve">correr a partir de la publicación del presente Decreto.". </w:t>
      </w:r>
      <w:r>
        <w:rPr>
          <w:rFonts w:ascii="Verdana" w:hAnsi="Verdana" w:cs="Verdana"/>
          <w:b/>
          <w:bCs/>
          <w:spacing w:val="2"/>
          <w:w w:val="105"/>
          <w:sz w:val="20"/>
          <w:szCs w:val="20"/>
          <w:lang w:val="es-ES" w:eastAsia="es-ES"/>
        </w:rPr>
        <w:t>E).</w:t>
      </w:r>
      <w:r>
        <w:rPr>
          <w:rFonts w:ascii="Arial" w:hAnsi="Arial" w:cs="Arial"/>
          <w:b/>
          <w:bCs/>
          <w:spacing w:val="2"/>
          <w:sz w:val="6"/>
          <w:szCs w:val="6"/>
          <w:lang w:val="es-ES" w:eastAsia="es-ES"/>
        </w:rPr>
        <w:t xml:space="preserve">- </w:t>
      </w:r>
      <w:r>
        <w:rPr>
          <w:rFonts w:ascii="Verdana" w:hAnsi="Verdana" w:cs="Verdana"/>
          <w:spacing w:val="2"/>
          <w:sz w:val="20"/>
          <w:szCs w:val="20"/>
          <w:lang w:val="es-ES" w:eastAsia="es-ES"/>
        </w:rPr>
        <w:t xml:space="preserve">El recurrente participó </w:t>
      </w:r>
      <w:r>
        <w:rPr>
          <w:rFonts w:ascii="Verdana" w:hAnsi="Verdana" w:cs="Verdana"/>
          <w:spacing w:val="11"/>
          <w:sz w:val="20"/>
          <w:szCs w:val="20"/>
          <w:lang w:val="es-ES" w:eastAsia="es-ES"/>
        </w:rPr>
        <w:t xml:space="preserve">en la licitación pública mediante oferta número N° </w:t>
      </w:r>
      <w:r w:rsidR="00B17A12">
        <w:rPr>
          <w:rFonts w:ascii="Verdana" w:hAnsi="Verdana" w:cs="Verdana"/>
          <w:spacing w:val="11"/>
          <w:sz w:val="20"/>
          <w:szCs w:val="20"/>
          <w:lang w:val="es-ES" w:eastAsia="es-ES"/>
        </w:rPr>
        <w:t>XXX</w:t>
      </w:r>
      <w:r>
        <w:rPr>
          <w:rFonts w:ascii="Verdana" w:hAnsi="Verdana" w:cs="Verdana"/>
          <w:spacing w:val="11"/>
          <w:sz w:val="20"/>
          <w:szCs w:val="20"/>
          <w:lang w:val="es-ES" w:eastAsia="es-ES"/>
        </w:rPr>
        <w:t xml:space="preserve">. </w:t>
      </w:r>
      <w:r>
        <w:rPr>
          <w:rFonts w:ascii="Verdana" w:hAnsi="Verdana" w:cs="Verdana"/>
          <w:b/>
          <w:bCs/>
          <w:spacing w:val="11"/>
          <w:w w:val="105"/>
          <w:sz w:val="20"/>
          <w:szCs w:val="20"/>
          <w:lang w:val="es-ES" w:eastAsia="es-ES"/>
        </w:rPr>
        <w:t xml:space="preserve">F).- </w:t>
      </w:r>
      <w:r>
        <w:rPr>
          <w:rFonts w:ascii="Verdana" w:hAnsi="Verdana" w:cs="Verdana"/>
          <w:spacing w:val="11"/>
          <w:sz w:val="20"/>
          <w:szCs w:val="20"/>
          <w:lang w:val="es-ES" w:eastAsia="es-ES"/>
        </w:rPr>
        <w:t xml:space="preserve">La oferta </w:t>
      </w:r>
      <w:r>
        <w:rPr>
          <w:rFonts w:ascii="Verdana" w:hAnsi="Verdana" w:cs="Verdana"/>
          <w:spacing w:val="7"/>
          <w:sz w:val="20"/>
          <w:szCs w:val="20"/>
          <w:lang w:val="es-ES" w:eastAsia="es-ES"/>
        </w:rPr>
        <w:t xml:space="preserve">presentada por el recurrente en el concurso público fue evaluada conforme </w:t>
      </w:r>
      <w:r>
        <w:rPr>
          <w:rFonts w:ascii="Verdana" w:hAnsi="Verdana" w:cs="Verdana"/>
          <w:spacing w:val="8"/>
          <w:sz w:val="20"/>
          <w:szCs w:val="20"/>
          <w:lang w:val="es-ES" w:eastAsia="es-ES"/>
        </w:rPr>
        <w:t xml:space="preserve">la modificación introducida al cartel de la licitación mediante el Decreto </w:t>
      </w:r>
      <w:r>
        <w:rPr>
          <w:rFonts w:ascii="Verdana" w:hAnsi="Verdana" w:cs="Verdana"/>
          <w:spacing w:val="6"/>
          <w:sz w:val="20"/>
          <w:szCs w:val="20"/>
          <w:lang w:val="es-ES" w:eastAsia="es-ES"/>
        </w:rPr>
        <w:t xml:space="preserve">Ejecutivo 35985-MOPT,respecto de la tabla de evaluación la cual se haría </w:t>
      </w:r>
      <w:r>
        <w:rPr>
          <w:rFonts w:ascii="Verdana" w:hAnsi="Verdana" w:cs="Verdana"/>
          <w:spacing w:val="4"/>
          <w:sz w:val="20"/>
          <w:szCs w:val="20"/>
          <w:lang w:val="es-ES" w:eastAsia="es-ES"/>
        </w:rPr>
        <w:t xml:space="preserve">según lo establecido en el artículo 33 de la Ley 7969, en donde alcanzó 40 </w:t>
      </w:r>
      <w:r>
        <w:rPr>
          <w:rFonts w:ascii="Verdana" w:hAnsi="Verdana" w:cs="Verdana"/>
          <w:sz w:val="20"/>
          <w:szCs w:val="20"/>
          <w:lang w:val="es-ES" w:eastAsia="es-ES"/>
        </w:rPr>
        <w:t>puntos.</w:t>
      </w:r>
    </w:p>
    <w:p w:rsidR="00C9129E" w:rsidRDefault="00C9129E">
      <w:pPr>
        <w:pStyle w:val="Style12"/>
        <w:numPr>
          <w:ilvl w:val="0"/>
          <w:numId w:val="8"/>
        </w:numPr>
        <w:tabs>
          <w:tab w:val="clear" w:pos="432"/>
          <w:tab w:val="num" w:pos="504"/>
        </w:tabs>
        <w:kinsoku w:val="0"/>
        <w:autoSpaceDE/>
        <w:autoSpaceDN/>
        <w:rPr>
          <w:rStyle w:val="CharacterStyle10"/>
          <w:rFonts w:ascii="Verdana" w:hAnsi="Verdana" w:cs="Verdana"/>
          <w:b/>
          <w:spacing w:val="18"/>
          <w:w w:val="105"/>
          <w:lang w:val="es-ES" w:eastAsia="es-ES"/>
        </w:rPr>
      </w:pPr>
      <w:r>
        <w:rPr>
          <w:rStyle w:val="CharacterStyle10"/>
          <w:rFonts w:ascii="Verdana" w:hAnsi="Verdana" w:cs="Verdana"/>
          <w:b/>
          <w:spacing w:val="18"/>
          <w:w w:val="105"/>
          <w:lang w:val="es-ES" w:eastAsia="es-ES"/>
        </w:rPr>
        <w:t>HECHOS NO PROBADOS.</w:t>
      </w:r>
    </w:p>
    <w:p w:rsidR="00C9129E" w:rsidRDefault="00C9129E">
      <w:pPr>
        <w:pStyle w:val="Style21"/>
        <w:kinsoku w:val="0"/>
        <w:autoSpaceDE/>
        <w:autoSpaceDN/>
        <w:adjustRightInd/>
        <w:spacing w:before="540"/>
        <w:rPr>
          <w:rFonts w:ascii="Verdana" w:hAnsi="Verdana" w:cs="Verdana"/>
          <w:spacing w:val="4"/>
          <w:sz w:val="20"/>
          <w:szCs w:val="20"/>
          <w:lang w:val="es-ES" w:eastAsia="es-ES"/>
        </w:rPr>
      </w:pPr>
      <w:r>
        <w:rPr>
          <w:rFonts w:ascii="Verdana" w:hAnsi="Verdana" w:cs="Verdana"/>
          <w:spacing w:val="4"/>
          <w:sz w:val="20"/>
          <w:szCs w:val="20"/>
          <w:lang w:val="es-ES" w:eastAsia="es-ES"/>
        </w:rPr>
        <w:t>Ninguno de importancia para la resolución del presente asunto.</w:t>
      </w:r>
    </w:p>
    <w:p w:rsidR="00C9129E" w:rsidRDefault="00C9129E">
      <w:pPr>
        <w:pStyle w:val="Style12"/>
        <w:numPr>
          <w:ilvl w:val="0"/>
          <w:numId w:val="8"/>
        </w:numPr>
        <w:tabs>
          <w:tab w:val="clear" w:pos="432"/>
          <w:tab w:val="num" w:pos="504"/>
        </w:tabs>
        <w:kinsoku w:val="0"/>
        <w:autoSpaceDE/>
        <w:autoSpaceDN/>
        <w:spacing w:before="540" w:line="206" w:lineRule="auto"/>
        <w:rPr>
          <w:rStyle w:val="CharacterStyle10"/>
          <w:rFonts w:ascii="Verdana" w:hAnsi="Verdana" w:cs="Verdana"/>
          <w:b/>
          <w:spacing w:val="6"/>
          <w:w w:val="105"/>
          <w:lang w:val="es-ES" w:eastAsia="es-ES"/>
        </w:rPr>
      </w:pPr>
      <w:r>
        <w:rPr>
          <w:rStyle w:val="CharacterStyle10"/>
          <w:rFonts w:ascii="Verdana" w:hAnsi="Verdana" w:cs="Verdana"/>
          <w:b/>
          <w:spacing w:val="6"/>
          <w:w w:val="105"/>
          <w:lang w:val="es-ES" w:eastAsia="es-ES"/>
        </w:rPr>
        <w:t>SOBRE EL FONDO. El OBJETO DEL PROCEDIMIENTO.</w:t>
      </w:r>
    </w:p>
    <w:p w:rsidR="00C9129E" w:rsidRDefault="00C9129E">
      <w:pPr>
        <w:pStyle w:val="Style21"/>
        <w:kinsoku w:val="0"/>
        <w:autoSpaceDE/>
        <w:autoSpaceDN/>
        <w:adjustRightInd/>
        <w:spacing w:before="540"/>
        <w:ind w:right="72"/>
        <w:jc w:val="both"/>
        <w:rPr>
          <w:rFonts w:ascii="Verdana" w:hAnsi="Verdana" w:cs="Verdana"/>
          <w:spacing w:val="3"/>
          <w:sz w:val="20"/>
          <w:szCs w:val="20"/>
          <w:lang w:val="es-ES" w:eastAsia="es-ES"/>
        </w:rPr>
      </w:pPr>
      <w:r>
        <w:rPr>
          <w:rFonts w:ascii="Verdana" w:hAnsi="Verdana" w:cs="Verdana"/>
          <w:spacing w:val="2"/>
          <w:sz w:val="20"/>
          <w:szCs w:val="20"/>
          <w:lang w:val="es-ES" w:eastAsia="es-ES"/>
        </w:rPr>
        <w:t xml:space="preserve">El señor </w:t>
      </w:r>
      <w:r>
        <w:rPr>
          <w:rFonts w:ascii="Verdana" w:hAnsi="Verdana" w:cs="Verdana"/>
          <w:b/>
          <w:bCs/>
          <w:spacing w:val="2"/>
          <w:w w:val="105"/>
          <w:sz w:val="17"/>
          <w:szCs w:val="17"/>
          <w:lang w:val="es-ES" w:eastAsia="es-ES"/>
        </w:rPr>
        <w:t>D</w:t>
      </w:r>
      <w:r w:rsidR="00B17A12">
        <w:rPr>
          <w:rFonts w:ascii="Verdana" w:hAnsi="Verdana" w:cs="Verdana"/>
          <w:b/>
          <w:bCs/>
          <w:spacing w:val="2"/>
          <w:w w:val="105"/>
          <w:sz w:val="17"/>
          <w:szCs w:val="17"/>
          <w:lang w:val="es-ES" w:eastAsia="es-ES"/>
        </w:rPr>
        <w:t>.</w:t>
      </w:r>
      <w:r>
        <w:rPr>
          <w:rFonts w:ascii="Verdana" w:hAnsi="Verdana" w:cs="Verdana"/>
          <w:b/>
          <w:bCs/>
          <w:spacing w:val="2"/>
          <w:w w:val="105"/>
          <w:sz w:val="17"/>
          <w:szCs w:val="17"/>
          <w:lang w:val="es-ES" w:eastAsia="es-ES"/>
        </w:rPr>
        <w:t>A</w:t>
      </w:r>
      <w:r w:rsidR="00B17A12">
        <w:rPr>
          <w:rFonts w:ascii="Verdana" w:hAnsi="Verdana" w:cs="Verdana"/>
          <w:b/>
          <w:bCs/>
          <w:spacing w:val="2"/>
          <w:w w:val="105"/>
          <w:sz w:val="17"/>
          <w:szCs w:val="17"/>
          <w:lang w:val="es-ES" w:eastAsia="es-ES"/>
        </w:rPr>
        <w:t>.</w:t>
      </w:r>
      <w:r>
        <w:rPr>
          <w:rFonts w:ascii="Verdana" w:hAnsi="Verdana" w:cs="Verdana"/>
          <w:b/>
          <w:bCs/>
          <w:spacing w:val="2"/>
          <w:w w:val="105"/>
          <w:sz w:val="17"/>
          <w:szCs w:val="17"/>
          <w:lang w:val="es-ES" w:eastAsia="es-ES"/>
        </w:rPr>
        <w:t>S</w:t>
      </w:r>
      <w:r w:rsidR="00B17A12">
        <w:rPr>
          <w:rFonts w:ascii="Verdana" w:hAnsi="Verdana" w:cs="Verdana"/>
          <w:b/>
          <w:bCs/>
          <w:spacing w:val="2"/>
          <w:w w:val="105"/>
          <w:sz w:val="17"/>
          <w:szCs w:val="17"/>
          <w:lang w:val="es-ES" w:eastAsia="es-ES"/>
        </w:rPr>
        <w:t>.</w:t>
      </w:r>
      <w:r>
        <w:rPr>
          <w:rFonts w:ascii="Verdana" w:hAnsi="Verdana" w:cs="Verdana"/>
          <w:b/>
          <w:bCs/>
          <w:spacing w:val="2"/>
          <w:w w:val="105"/>
          <w:sz w:val="17"/>
          <w:szCs w:val="17"/>
          <w:lang w:val="es-ES" w:eastAsia="es-ES"/>
        </w:rPr>
        <w:t>V</w:t>
      </w:r>
      <w:r w:rsidR="00B17A12">
        <w:rPr>
          <w:rFonts w:ascii="Verdana" w:hAnsi="Verdana" w:cs="Verdana"/>
          <w:b/>
          <w:bCs/>
          <w:spacing w:val="2"/>
          <w:w w:val="105"/>
          <w:sz w:val="17"/>
          <w:szCs w:val="17"/>
          <w:lang w:val="es-ES" w:eastAsia="es-ES"/>
        </w:rPr>
        <w:t>.,</w:t>
      </w:r>
      <w:r>
        <w:rPr>
          <w:rFonts w:ascii="Verdana" w:hAnsi="Verdana" w:cs="Verdana"/>
          <w:b/>
          <w:bCs/>
          <w:spacing w:val="2"/>
          <w:w w:val="105"/>
          <w:sz w:val="17"/>
          <w:szCs w:val="17"/>
          <w:lang w:val="es-ES" w:eastAsia="es-ES"/>
        </w:rPr>
        <w:t xml:space="preserve"> </w:t>
      </w:r>
      <w:r>
        <w:rPr>
          <w:rFonts w:ascii="Verdana" w:hAnsi="Verdana" w:cs="Verdana"/>
          <w:spacing w:val="2"/>
          <w:sz w:val="20"/>
          <w:szCs w:val="20"/>
          <w:lang w:val="es-ES" w:eastAsia="es-ES"/>
        </w:rPr>
        <w:t xml:space="preserve">impugna el acto de calificación </w:t>
      </w:r>
      <w:r>
        <w:rPr>
          <w:rFonts w:ascii="Verdana" w:hAnsi="Verdana" w:cs="Verdana"/>
          <w:spacing w:val="19"/>
          <w:sz w:val="20"/>
          <w:szCs w:val="20"/>
          <w:lang w:val="es-ES" w:eastAsia="es-ES"/>
        </w:rPr>
        <w:t xml:space="preserve">de las ofertas que fue publicado en la página web del Consejo de </w:t>
      </w:r>
      <w:r>
        <w:rPr>
          <w:rFonts w:ascii="Verdana" w:hAnsi="Verdana" w:cs="Verdana"/>
          <w:spacing w:val="5"/>
          <w:sz w:val="20"/>
          <w:szCs w:val="20"/>
          <w:lang w:val="es-ES" w:eastAsia="es-ES"/>
        </w:rPr>
        <w:t xml:space="preserve">Transporte Público para la adjudicación de 1034 concesiones de placas de </w:t>
      </w:r>
      <w:r>
        <w:rPr>
          <w:rFonts w:ascii="Verdana" w:hAnsi="Verdana" w:cs="Verdana"/>
          <w:spacing w:val="2"/>
          <w:sz w:val="20"/>
          <w:szCs w:val="20"/>
          <w:lang w:val="es-ES" w:eastAsia="es-ES"/>
        </w:rPr>
        <w:t xml:space="preserve">taxi; de conformidad con el Decreto Ejecutivo 35448-MOPT y sus reformas, </w:t>
      </w:r>
      <w:r>
        <w:rPr>
          <w:rFonts w:ascii="Verdana" w:hAnsi="Verdana" w:cs="Verdana"/>
          <w:spacing w:val="6"/>
          <w:sz w:val="20"/>
          <w:szCs w:val="20"/>
          <w:lang w:val="es-ES" w:eastAsia="es-ES"/>
        </w:rPr>
        <w:t xml:space="preserve">calificación aprobada por la Junta Directiva, mediante ACUERDO EN FIRME del artículo 3.3 de la Sesión Ordinaria N° 37-2011. Alega el recurrente que </w:t>
      </w:r>
      <w:r>
        <w:rPr>
          <w:rFonts w:ascii="Verdana" w:hAnsi="Verdana" w:cs="Verdana"/>
          <w:spacing w:val="5"/>
          <w:sz w:val="20"/>
          <w:szCs w:val="20"/>
          <w:lang w:val="es-ES" w:eastAsia="es-ES"/>
        </w:rPr>
        <w:t xml:space="preserve">el Consejo de Transporte Público en la calificación de su oferta, omitió dar valor a lo establecido en el artículo 8 del Decreto Ejecutivo 35448-MOPT, </w:t>
      </w:r>
      <w:r>
        <w:rPr>
          <w:rFonts w:ascii="Verdana" w:hAnsi="Verdana" w:cs="Verdana"/>
          <w:spacing w:val="7"/>
          <w:sz w:val="20"/>
          <w:szCs w:val="20"/>
          <w:lang w:val="es-ES" w:eastAsia="es-ES"/>
        </w:rPr>
        <w:t xml:space="preserve">particularmente los 16 puntos del código de conductor, los cuarenta por </w:t>
      </w:r>
      <w:r>
        <w:rPr>
          <w:rFonts w:ascii="Verdana" w:hAnsi="Verdana" w:cs="Verdana"/>
          <w:spacing w:val="1"/>
          <w:sz w:val="20"/>
          <w:szCs w:val="20"/>
          <w:lang w:val="es-ES" w:eastAsia="es-ES"/>
        </w:rPr>
        <w:t xml:space="preserve">Licencia C1 y los 20 puntos respecto al profesionalismo en la prestación del </w:t>
      </w:r>
      <w:r>
        <w:rPr>
          <w:rFonts w:ascii="Verdana" w:hAnsi="Verdana" w:cs="Verdana"/>
          <w:spacing w:val="10"/>
          <w:sz w:val="20"/>
          <w:szCs w:val="20"/>
          <w:lang w:val="es-ES" w:eastAsia="es-ES"/>
        </w:rPr>
        <w:t xml:space="preserve">servicio, por lo que el acto se encuentra viciado de nulidad y así debe </w:t>
      </w:r>
      <w:r>
        <w:rPr>
          <w:rFonts w:ascii="Verdana" w:hAnsi="Verdana" w:cs="Verdana"/>
          <w:spacing w:val="3"/>
          <w:sz w:val="20"/>
          <w:szCs w:val="20"/>
          <w:lang w:val="es-ES" w:eastAsia="es-ES"/>
        </w:rPr>
        <w:t>declararse y otorgarle los puntos referidos.</w:t>
      </w:r>
    </w:p>
    <w:p w:rsidR="00C9129E" w:rsidRDefault="00C9129E">
      <w:pPr>
        <w:pStyle w:val="Style21"/>
        <w:kinsoku w:val="0"/>
        <w:autoSpaceDE/>
        <w:autoSpaceDN/>
        <w:adjustRightInd/>
        <w:spacing w:before="468" w:after="468"/>
        <w:ind w:right="72"/>
        <w:jc w:val="both"/>
        <w:rPr>
          <w:rFonts w:ascii="Verdana" w:hAnsi="Verdana" w:cs="Verdana"/>
          <w:spacing w:val="13"/>
          <w:sz w:val="20"/>
          <w:szCs w:val="20"/>
          <w:lang w:val="es-ES" w:eastAsia="es-ES"/>
        </w:rPr>
      </w:pPr>
      <w:r>
        <w:rPr>
          <w:rFonts w:ascii="Verdana" w:hAnsi="Verdana" w:cs="Verdana"/>
          <w:spacing w:val="1"/>
          <w:sz w:val="20"/>
          <w:szCs w:val="20"/>
          <w:lang w:val="es-ES" w:eastAsia="es-ES"/>
        </w:rPr>
        <w:t xml:space="preserve">De previo a realizar el análisis de fondo del asunto en estudio, es necesario </w:t>
      </w:r>
      <w:r>
        <w:rPr>
          <w:rFonts w:ascii="Verdana" w:hAnsi="Verdana" w:cs="Verdana"/>
          <w:spacing w:val="7"/>
          <w:sz w:val="20"/>
          <w:szCs w:val="20"/>
          <w:lang w:val="es-ES" w:eastAsia="es-ES"/>
        </w:rPr>
        <w:t xml:space="preserve">precisar la naturaleza jurídica de la publicación de la calificación obtenida por los oferentes participantes del concurso público. La evaluación de la </w:t>
      </w:r>
      <w:r>
        <w:rPr>
          <w:rFonts w:ascii="Verdana" w:hAnsi="Verdana" w:cs="Verdana"/>
          <w:spacing w:val="3"/>
          <w:sz w:val="20"/>
          <w:szCs w:val="20"/>
          <w:lang w:val="es-ES" w:eastAsia="es-ES"/>
        </w:rPr>
        <w:t xml:space="preserve">oferta presentada al concurso constituye un acto administrativo con efecto </w:t>
      </w:r>
      <w:r>
        <w:rPr>
          <w:rFonts w:ascii="Verdana" w:hAnsi="Verdana" w:cs="Verdana"/>
          <w:sz w:val="20"/>
          <w:szCs w:val="20"/>
          <w:lang w:val="es-ES" w:eastAsia="es-ES"/>
        </w:rPr>
        <w:t xml:space="preserve">propio, es decir, </w:t>
      </w:r>
      <w:r>
        <w:rPr>
          <w:rFonts w:ascii="Verdana" w:hAnsi="Verdana" w:cs="Verdana"/>
          <w:b/>
          <w:bCs/>
          <w:w w:val="110"/>
          <w:sz w:val="19"/>
          <w:szCs w:val="19"/>
          <w:u w:val="single"/>
          <w:lang w:val="es-ES" w:eastAsia="es-ES"/>
        </w:rPr>
        <w:t xml:space="preserve">la calificación otorgada por acuerdo firme de la </w:t>
      </w:r>
      <w:r>
        <w:rPr>
          <w:rFonts w:ascii="Verdana" w:hAnsi="Verdana" w:cs="Verdana"/>
          <w:b/>
          <w:bCs/>
          <w:spacing w:val="15"/>
          <w:w w:val="110"/>
          <w:sz w:val="19"/>
          <w:szCs w:val="19"/>
          <w:u w:val="single"/>
          <w:lang w:val="es-ES" w:eastAsia="es-ES"/>
        </w:rPr>
        <w:t>Administración</w:t>
      </w:r>
      <w:r>
        <w:rPr>
          <w:rFonts w:ascii="Verdana" w:hAnsi="Verdana" w:cs="Verdana"/>
          <w:spacing w:val="15"/>
          <w:sz w:val="20"/>
          <w:szCs w:val="20"/>
          <w:lang w:val="es-ES" w:eastAsia="es-ES"/>
        </w:rPr>
        <w:t xml:space="preserve"> va a determinar o definir la continuación o no del </w:t>
      </w:r>
      <w:r>
        <w:rPr>
          <w:rFonts w:ascii="Verdana" w:hAnsi="Verdana" w:cs="Verdana"/>
          <w:spacing w:val="4"/>
          <w:sz w:val="20"/>
          <w:szCs w:val="20"/>
          <w:lang w:val="es-ES" w:eastAsia="es-ES"/>
        </w:rPr>
        <w:t xml:space="preserve">oferente en el concurso licitatorio, motivo por el cual es un acto que si bien </w:t>
      </w:r>
      <w:r>
        <w:rPr>
          <w:rFonts w:ascii="Verdana" w:hAnsi="Verdana" w:cs="Verdana"/>
          <w:spacing w:val="9"/>
          <w:sz w:val="20"/>
          <w:szCs w:val="20"/>
          <w:lang w:val="es-ES" w:eastAsia="es-ES"/>
        </w:rPr>
        <w:t xml:space="preserve">es de trámite lo cierto es que causa estado, define la permanencia del </w:t>
      </w:r>
      <w:r>
        <w:rPr>
          <w:rFonts w:ascii="Verdana" w:hAnsi="Verdana" w:cs="Verdana"/>
          <w:spacing w:val="7"/>
          <w:sz w:val="20"/>
          <w:szCs w:val="20"/>
          <w:lang w:val="es-ES" w:eastAsia="es-ES"/>
        </w:rPr>
        <w:t xml:space="preserve">oferente en el concurso. El artículo 163 inciso 2 de la Ley General de la </w:t>
      </w:r>
      <w:r>
        <w:rPr>
          <w:rFonts w:ascii="Verdana" w:hAnsi="Verdana" w:cs="Verdana"/>
          <w:spacing w:val="1"/>
          <w:sz w:val="20"/>
          <w:szCs w:val="20"/>
          <w:lang w:val="es-ES" w:eastAsia="es-ES"/>
        </w:rPr>
        <w:t xml:space="preserve">Administración Pública, Ley N°6227 establece que </w:t>
      </w:r>
      <w:r>
        <w:rPr>
          <w:rFonts w:ascii="Verdana" w:hAnsi="Verdana" w:cs="Verdana"/>
          <w:i/>
          <w:iCs/>
          <w:spacing w:val="1"/>
          <w:w w:val="105"/>
          <w:sz w:val="20"/>
          <w:szCs w:val="20"/>
          <w:lang w:val="es-ES" w:eastAsia="es-ES"/>
        </w:rPr>
        <w:t xml:space="preserve">"Los vicios propios de los </w:t>
      </w:r>
      <w:r>
        <w:rPr>
          <w:rFonts w:ascii="Verdana" w:hAnsi="Verdana" w:cs="Verdana"/>
          <w:i/>
          <w:iCs/>
          <w:spacing w:val="-1"/>
          <w:w w:val="105"/>
          <w:sz w:val="20"/>
          <w:szCs w:val="20"/>
          <w:lang w:val="es-ES" w:eastAsia="es-ES"/>
        </w:rPr>
        <w:t xml:space="preserve">actos preparatorios se impugnaran conjuntamente con el acto, </w:t>
      </w:r>
      <w:r>
        <w:rPr>
          <w:rFonts w:ascii="Verdana" w:hAnsi="Verdana" w:cs="Verdana"/>
          <w:b/>
          <w:bCs/>
          <w:i/>
          <w:iCs/>
          <w:spacing w:val="-1"/>
          <w:w w:val="105"/>
          <w:sz w:val="20"/>
          <w:szCs w:val="20"/>
          <w:u w:val="single"/>
          <w:lang w:val="es-ES" w:eastAsia="es-ES"/>
        </w:rPr>
        <w:t xml:space="preserve">salvo que </w:t>
      </w:r>
      <w:r>
        <w:rPr>
          <w:rFonts w:ascii="Verdana" w:hAnsi="Verdana" w:cs="Verdana"/>
          <w:b/>
          <w:bCs/>
          <w:i/>
          <w:iCs/>
          <w:spacing w:val="7"/>
          <w:w w:val="105"/>
          <w:sz w:val="20"/>
          <w:szCs w:val="20"/>
          <w:u w:val="single"/>
          <w:lang w:val="es-ES" w:eastAsia="es-ES"/>
        </w:rPr>
        <w:t>aquellos sean, a su vez, actos con efecto propio.",</w:t>
      </w:r>
      <w:r>
        <w:rPr>
          <w:rFonts w:ascii="Verdana" w:hAnsi="Verdana" w:cs="Verdana"/>
          <w:spacing w:val="7"/>
          <w:sz w:val="20"/>
          <w:szCs w:val="20"/>
          <w:lang w:val="es-ES" w:eastAsia="es-ES"/>
        </w:rPr>
        <w:t xml:space="preserve"> en el caso en </w:t>
      </w:r>
      <w:r>
        <w:rPr>
          <w:rFonts w:ascii="Verdana" w:hAnsi="Verdana" w:cs="Verdana"/>
          <w:spacing w:val="2"/>
          <w:sz w:val="20"/>
          <w:szCs w:val="20"/>
          <w:lang w:val="es-ES" w:eastAsia="es-ES"/>
        </w:rPr>
        <w:t xml:space="preserve">estudio la evaluación realizada por la Administración va a establecer cuales </w:t>
      </w:r>
      <w:r>
        <w:rPr>
          <w:rFonts w:ascii="Verdana" w:hAnsi="Verdana" w:cs="Verdana"/>
          <w:spacing w:val="6"/>
          <w:sz w:val="20"/>
          <w:szCs w:val="20"/>
          <w:lang w:val="es-ES" w:eastAsia="es-ES"/>
        </w:rPr>
        <w:t xml:space="preserve">oferentes continúan en el concurso, aquellos que no alcancen el puntaje </w:t>
      </w:r>
      <w:r>
        <w:rPr>
          <w:rFonts w:ascii="Verdana" w:hAnsi="Verdana" w:cs="Verdana"/>
          <w:spacing w:val="1"/>
          <w:sz w:val="20"/>
          <w:szCs w:val="20"/>
          <w:lang w:val="es-ES" w:eastAsia="es-ES"/>
        </w:rPr>
        <w:t xml:space="preserve">necesario quedan excluidos. La decisión de la Administración de aprobar las </w:t>
      </w:r>
      <w:r>
        <w:rPr>
          <w:rFonts w:ascii="Verdana" w:hAnsi="Verdana" w:cs="Verdana"/>
          <w:spacing w:val="13"/>
          <w:sz w:val="20"/>
          <w:szCs w:val="20"/>
          <w:lang w:val="es-ES" w:eastAsia="es-ES"/>
        </w:rPr>
        <w:t>calificaciones obtenidas por los oferentes participantes en el concurso</w:t>
      </w:r>
    </w:p>
    <w:p w:rsidR="00081208" w:rsidRDefault="00081208">
      <w:pPr>
        <w:pStyle w:val="Style13"/>
        <w:kinsoku w:val="0"/>
        <w:autoSpaceDE/>
        <w:autoSpaceDN/>
        <w:ind w:left="72" w:right="0" w:firstLine="0"/>
        <w:rPr>
          <w:rStyle w:val="CharacterStyle7"/>
          <w:rFonts w:ascii="Verdana" w:hAnsi="Verdana" w:cs="Verdana"/>
          <w:spacing w:val="5"/>
          <w:lang w:val="es-ES" w:eastAsia="es-ES"/>
        </w:rPr>
      </w:pPr>
    </w:p>
    <w:p w:rsidR="00081208" w:rsidRDefault="00081208">
      <w:pPr>
        <w:pStyle w:val="Style13"/>
        <w:kinsoku w:val="0"/>
        <w:autoSpaceDE/>
        <w:autoSpaceDN/>
        <w:ind w:left="72" w:right="0" w:firstLine="0"/>
        <w:rPr>
          <w:rStyle w:val="CharacterStyle7"/>
          <w:rFonts w:ascii="Verdana" w:hAnsi="Verdana" w:cs="Verdana"/>
          <w:spacing w:val="5"/>
          <w:lang w:val="es-ES" w:eastAsia="es-ES"/>
        </w:rPr>
      </w:pPr>
    </w:p>
    <w:p w:rsidR="00081208" w:rsidRDefault="00081208">
      <w:pPr>
        <w:pStyle w:val="Style13"/>
        <w:kinsoku w:val="0"/>
        <w:autoSpaceDE/>
        <w:autoSpaceDN/>
        <w:ind w:left="72" w:right="0" w:firstLine="0"/>
        <w:rPr>
          <w:rStyle w:val="CharacterStyle7"/>
          <w:rFonts w:ascii="Verdana" w:hAnsi="Verdana" w:cs="Verdana"/>
          <w:spacing w:val="5"/>
          <w:lang w:val="es-ES" w:eastAsia="es-ES"/>
        </w:rPr>
      </w:pPr>
    </w:p>
    <w:p w:rsidR="00C9129E" w:rsidRDefault="00C9129E">
      <w:pPr>
        <w:pStyle w:val="Style13"/>
        <w:kinsoku w:val="0"/>
        <w:autoSpaceDE/>
        <w:autoSpaceDN/>
        <w:ind w:left="72" w:right="0" w:firstLine="0"/>
        <w:rPr>
          <w:rStyle w:val="CharacterStyle7"/>
          <w:rFonts w:ascii="Verdana" w:hAnsi="Verdana" w:cs="Verdana"/>
          <w:spacing w:val="3"/>
          <w:lang w:val="es-ES" w:eastAsia="es-ES"/>
        </w:rPr>
      </w:pPr>
      <w:proofErr w:type="gramStart"/>
      <w:r>
        <w:rPr>
          <w:rStyle w:val="CharacterStyle7"/>
          <w:rFonts w:ascii="Verdana" w:hAnsi="Verdana" w:cs="Verdana"/>
          <w:spacing w:val="5"/>
          <w:lang w:val="es-ES" w:eastAsia="es-ES"/>
        </w:rPr>
        <w:lastRenderedPageBreak/>
        <w:t>dándole</w:t>
      </w:r>
      <w:proofErr w:type="gramEnd"/>
      <w:r>
        <w:rPr>
          <w:rStyle w:val="CharacterStyle7"/>
          <w:rFonts w:ascii="Verdana" w:hAnsi="Verdana" w:cs="Verdana"/>
          <w:spacing w:val="5"/>
          <w:lang w:val="es-ES" w:eastAsia="es-ES"/>
        </w:rPr>
        <w:t xml:space="preserve"> el carácter de acto administrativo firme, son por disposición de la </w:t>
      </w:r>
      <w:r>
        <w:rPr>
          <w:rStyle w:val="CharacterStyle7"/>
          <w:rFonts w:ascii="Verdana" w:hAnsi="Verdana" w:cs="Verdana"/>
          <w:spacing w:val="6"/>
          <w:lang w:val="es-ES" w:eastAsia="es-ES"/>
        </w:rPr>
        <w:t xml:space="preserve">Ley 7969 impugnables. La publicación de dicha evaluación permite a los </w:t>
      </w:r>
      <w:r>
        <w:rPr>
          <w:rStyle w:val="CharacterStyle7"/>
          <w:rFonts w:ascii="Verdana" w:hAnsi="Verdana" w:cs="Verdana"/>
          <w:lang w:val="es-ES" w:eastAsia="es-ES"/>
        </w:rPr>
        <w:t xml:space="preserve">oferentes que puedan impugnar la decisión adoptada, de conformidad con el </w:t>
      </w:r>
      <w:r>
        <w:rPr>
          <w:rStyle w:val="CharacterStyle7"/>
          <w:rFonts w:ascii="Verdana" w:hAnsi="Verdana" w:cs="Verdana"/>
          <w:spacing w:val="6"/>
          <w:lang w:val="es-ES" w:eastAsia="es-ES"/>
        </w:rPr>
        <w:t xml:space="preserve">artículo 22 de dicha Ley, la cual dispone que el Tribunal será competente </w:t>
      </w:r>
      <w:r>
        <w:rPr>
          <w:rStyle w:val="CharacterStyle7"/>
          <w:rFonts w:ascii="Verdana" w:hAnsi="Verdana" w:cs="Verdana"/>
          <w:spacing w:val="12"/>
          <w:lang w:val="es-ES" w:eastAsia="es-ES"/>
        </w:rPr>
        <w:t xml:space="preserve">para lo siguiente: a) Conocer y resolver, en sede administrativa, los </w:t>
      </w:r>
      <w:r>
        <w:rPr>
          <w:rStyle w:val="CharacterStyle7"/>
          <w:rFonts w:ascii="Verdana" w:hAnsi="Verdana" w:cs="Verdana"/>
          <w:spacing w:val="3"/>
          <w:lang w:val="es-ES" w:eastAsia="es-ES"/>
        </w:rPr>
        <w:t xml:space="preserve">recursos de apelación que se interpongan contra cualquier acto o resolución </w:t>
      </w:r>
      <w:r>
        <w:rPr>
          <w:rStyle w:val="CharacterStyle7"/>
          <w:rFonts w:ascii="Verdana" w:hAnsi="Verdana" w:cs="Verdana"/>
          <w:spacing w:val="9"/>
          <w:lang w:val="es-ES" w:eastAsia="es-ES"/>
        </w:rPr>
        <w:t xml:space="preserve">del Consejo. De manera que si el resultado de la evaluación les causa </w:t>
      </w:r>
      <w:r>
        <w:rPr>
          <w:rStyle w:val="CharacterStyle7"/>
          <w:rFonts w:ascii="Verdana" w:hAnsi="Verdana" w:cs="Verdana"/>
          <w:spacing w:val="10"/>
          <w:lang w:val="es-ES" w:eastAsia="es-ES"/>
        </w:rPr>
        <w:t xml:space="preserve">perjuicios ante la existencia de posibles errores resulta procedente el </w:t>
      </w:r>
      <w:r>
        <w:rPr>
          <w:rStyle w:val="CharacterStyle7"/>
          <w:rFonts w:ascii="Verdana" w:hAnsi="Verdana" w:cs="Verdana"/>
          <w:spacing w:val="5"/>
          <w:lang w:val="es-ES" w:eastAsia="es-ES"/>
        </w:rPr>
        <w:t xml:space="preserve">Recurso de Apelación planteado por el recurrente por lo que es necesario </w:t>
      </w:r>
      <w:r>
        <w:rPr>
          <w:rStyle w:val="CharacterStyle7"/>
          <w:rFonts w:ascii="Verdana" w:hAnsi="Verdana" w:cs="Verdana"/>
          <w:spacing w:val="3"/>
          <w:lang w:val="es-ES" w:eastAsia="es-ES"/>
        </w:rPr>
        <w:t>entrar a analizar las pretensiones deducidas.</w:t>
      </w:r>
    </w:p>
    <w:p w:rsidR="00C9129E" w:rsidRDefault="00C9129E">
      <w:pPr>
        <w:pStyle w:val="Style21"/>
        <w:kinsoku w:val="0"/>
        <w:autoSpaceDE/>
        <w:autoSpaceDN/>
        <w:adjustRightInd/>
        <w:spacing w:before="612"/>
        <w:ind w:firstLine="72"/>
        <w:jc w:val="both"/>
        <w:rPr>
          <w:rFonts w:ascii="Verdana" w:hAnsi="Verdana" w:cs="Verdana"/>
          <w:b/>
          <w:bCs/>
          <w:spacing w:val="-2"/>
          <w:w w:val="105"/>
          <w:sz w:val="20"/>
          <w:szCs w:val="20"/>
          <w:u w:val="single"/>
          <w:lang w:val="es-ES" w:eastAsia="es-ES"/>
        </w:rPr>
      </w:pPr>
      <w:r>
        <w:rPr>
          <w:rFonts w:ascii="Verdana" w:hAnsi="Verdana" w:cs="Verdana"/>
          <w:spacing w:val="2"/>
          <w:sz w:val="20"/>
          <w:szCs w:val="20"/>
          <w:lang w:val="es-ES" w:eastAsia="es-ES"/>
        </w:rPr>
        <w:t xml:space="preserve">El Consejo de Transporte Público, </w:t>
      </w:r>
      <w:r>
        <w:rPr>
          <w:rFonts w:ascii="Verdana" w:hAnsi="Verdana" w:cs="Verdana"/>
          <w:b/>
          <w:bCs/>
          <w:spacing w:val="2"/>
          <w:w w:val="105"/>
          <w:sz w:val="20"/>
          <w:szCs w:val="20"/>
          <w:u w:val="single"/>
          <w:lang w:val="es-ES" w:eastAsia="es-ES"/>
        </w:rPr>
        <w:t xml:space="preserve">mediante artículo 3.3 de la Sesión  </w:t>
      </w:r>
      <w:r>
        <w:rPr>
          <w:rFonts w:ascii="Verdana" w:hAnsi="Verdana" w:cs="Verdana"/>
          <w:b/>
          <w:bCs/>
          <w:w w:val="105"/>
          <w:sz w:val="20"/>
          <w:szCs w:val="20"/>
          <w:u w:val="single"/>
          <w:lang w:val="es-ES" w:eastAsia="es-ES"/>
        </w:rPr>
        <w:t>Ordinaria 37-2011, del jueves 26 de mayo del 2011,</w:t>
      </w:r>
      <w:r>
        <w:rPr>
          <w:rFonts w:ascii="Verdana" w:hAnsi="Verdana" w:cs="Verdana"/>
          <w:sz w:val="20"/>
          <w:szCs w:val="20"/>
          <w:lang w:val="es-ES" w:eastAsia="es-ES"/>
        </w:rPr>
        <w:t xml:space="preserve"> conoce el informe </w:t>
      </w:r>
      <w:r>
        <w:rPr>
          <w:rFonts w:ascii="Verdana" w:hAnsi="Verdana" w:cs="Verdana"/>
          <w:spacing w:val="7"/>
          <w:sz w:val="20"/>
          <w:szCs w:val="20"/>
          <w:lang w:val="es-ES" w:eastAsia="es-ES"/>
        </w:rPr>
        <w:t xml:space="preserve">de la Comisión encargada del Análisis y Recomendaciones de las ofertas </w:t>
      </w:r>
      <w:r>
        <w:rPr>
          <w:rFonts w:ascii="Verdana" w:hAnsi="Verdana" w:cs="Verdana"/>
          <w:sz w:val="20"/>
          <w:szCs w:val="20"/>
          <w:lang w:val="es-ES" w:eastAsia="es-ES"/>
        </w:rPr>
        <w:t xml:space="preserve">presentadas para la licitación tendiente a autorizar 1034 concesiones de taxi </w:t>
      </w:r>
      <w:r>
        <w:rPr>
          <w:rFonts w:ascii="Verdana" w:hAnsi="Verdana" w:cs="Verdana"/>
          <w:spacing w:val="9"/>
          <w:sz w:val="20"/>
          <w:szCs w:val="20"/>
          <w:lang w:val="es-ES" w:eastAsia="es-ES"/>
        </w:rPr>
        <w:t xml:space="preserve">adaptados para personas con discapacidad, referentes al listado de las </w:t>
      </w:r>
      <w:r>
        <w:rPr>
          <w:rFonts w:ascii="Verdana" w:hAnsi="Verdana" w:cs="Verdana"/>
          <w:spacing w:val="3"/>
          <w:sz w:val="20"/>
          <w:szCs w:val="20"/>
          <w:lang w:val="es-ES" w:eastAsia="es-ES"/>
        </w:rPr>
        <w:t xml:space="preserve">ofertas con su calificaciones y observaciones, </w:t>
      </w:r>
      <w:r>
        <w:rPr>
          <w:rFonts w:ascii="Verdana" w:hAnsi="Verdana" w:cs="Verdana"/>
          <w:b/>
          <w:bCs/>
          <w:spacing w:val="3"/>
          <w:w w:val="105"/>
          <w:sz w:val="20"/>
          <w:szCs w:val="20"/>
          <w:u w:val="single"/>
          <w:lang w:val="es-ES" w:eastAsia="es-ES"/>
        </w:rPr>
        <w:t xml:space="preserve">disponiendo por acuerdo  </w:t>
      </w:r>
      <w:r>
        <w:rPr>
          <w:rFonts w:ascii="Verdana" w:hAnsi="Verdana" w:cs="Verdana"/>
          <w:b/>
          <w:bCs/>
          <w:spacing w:val="-1"/>
          <w:w w:val="105"/>
          <w:sz w:val="20"/>
          <w:szCs w:val="20"/>
          <w:u w:val="single"/>
          <w:lang w:val="es-ES" w:eastAsia="es-ES"/>
        </w:rPr>
        <w:t xml:space="preserve">firme aprobar el listado de las ofertas presentadas en la licitación  </w:t>
      </w:r>
      <w:r>
        <w:rPr>
          <w:rFonts w:ascii="Verdana" w:hAnsi="Verdana" w:cs="Verdana"/>
          <w:b/>
          <w:bCs/>
          <w:spacing w:val="3"/>
          <w:w w:val="105"/>
          <w:sz w:val="20"/>
          <w:szCs w:val="20"/>
          <w:u w:val="single"/>
          <w:lang w:val="es-ES" w:eastAsia="es-ES"/>
        </w:rPr>
        <w:t xml:space="preserve">tendiente a autorizar 1034 concesiones de taxis adaptadas para  </w:t>
      </w:r>
      <w:r>
        <w:rPr>
          <w:rFonts w:ascii="Verdana" w:hAnsi="Verdana" w:cs="Verdana"/>
          <w:b/>
          <w:bCs/>
          <w:spacing w:val="19"/>
          <w:w w:val="105"/>
          <w:sz w:val="20"/>
          <w:szCs w:val="20"/>
          <w:u w:val="single"/>
          <w:lang w:val="es-ES" w:eastAsia="es-ES"/>
        </w:rPr>
        <w:t xml:space="preserve">personas con discapacidad, así como sus calificaciones y  </w:t>
      </w:r>
      <w:r>
        <w:rPr>
          <w:rFonts w:ascii="Verdana" w:hAnsi="Verdana" w:cs="Verdana"/>
          <w:b/>
          <w:bCs/>
          <w:spacing w:val="20"/>
          <w:w w:val="105"/>
          <w:sz w:val="20"/>
          <w:szCs w:val="20"/>
          <w:u w:val="single"/>
          <w:lang w:val="es-ES" w:eastAsia="es-ES"/>
        </w:rPr>
        <w:t xml:space="preserve">observaciones de la Comisión encargada v autorizar a la  </w:t>
      </w:r>
      <w:r>
        <w:rPr>
          <w:rFonts w:ascii="Verdana" w:hAnsi="Verdana" w:cs="Verdana"/>
          <w:b/>
          <w:bCs/>
          <w:spacing w:val="4"/>
          <w:w w:val="105"/>
          <w:sz w:val="20"/>
          <w:szCs w:val="20"/>
          <w:u w:val="single"/>
          <w:lang w:val="es-ES" w:eastAsia="es-ES"/>
        </w:rPr>
        <w:t xml:space="preserve">Administración proceder a exhibir el listado públicamente en la  </w:t>
      </w:r>
      <w:r>
        <w:rPr>
          <w:rFonts w:ascii="Verdana" w:hAnsi="Verdana" w:cs="Verdana"/>
          <w:b/>
          <w:bCs/>
          <w:spacing w:val="1"/>
          <w:w w:val="105"/>
          <w:sz w:val="20"/>
          <w:szCs w:val="20"/>
          <w:u w:val="single"/>
          <w:lang w:val="es-ES" w:eastAsia="es-ES"/>
        </w:rPr>
        <w:t xml:space="preserve">Sede Central, oficinas Regionales y sitio Web del Consejo y publicar </w:t>
      </w:r>
      <w:r>
        <w:rPr>
          <w:rFonts w:ascii="Verdana" w:hAnsi="Verdana" w:cs="Verdana"/>
          <w:b/>
          <w:bCs/>
          <w:spacing w:val="-2"/>
          <w:w w:val="105"/>
          <w:sz w:val="20"/>
          <w:szCs w:val="20"/>
          <w:u w:val="single"/>
          <w:lang w:val="es-ES" w:eastAsia="es-ES"/>
        </w:rPr>
        <w:t xml:space="preserve">el aviso correspondiente en el Diario Oficial La Gaceta. </w:t>
      </w:r>
    </w:p>
    <w:p w:rsidR="00C9129E" w:rsidRDefault="00C9129E">
      <w:pPr>
        <w:pStyle w:val="Style21"/>
        <w:kinsoku w:val="0"/>
        <w:autoSpaceDE/>
        <w:autoSpaceDN/>
        <w:adjustRightInd/>
        <w:spacing w:before="612"/>
        <w:ind w:left="72"/>
        <w:rPr>
          <w:rFonts w:ascii="Verdana" w:hAnsi="Verdana" w:cs="Verdana"/>
          <w:spacing w:val="3"/>
          <w:sz w:val="20"/>
          <w:szCs w:val="20"/>
          <w:lang w:val="es-ES" w:eastAsia="es-ES"/>
        </w:rPr>
      </w:pPr>
      <w:r>
        <w:rPr>
          <w:rFonts w:ascii="Verdana" w:hAnsi="Verdana" w:cs="Verdana"/>
          <w:spacing w:val="3"/>
          <w:sz w:val="20"/>
          <w:szCs w:val="20"/>
          <w:lang w:val="es-ES" w:eastAsia="es-ES"/>
        </w:rPr>
        <w:t>El recurrente en su impugnación alega lo siguiente:</w:t>
      </w:r>
    </w:p>
    <w:p w:rsidR="00C9129E" w:rsidRDefault="00C9129E">
      <w:pPr>
        <w:pStyle w:val="Style13"/>
        <w:numPr>
          <w:ilvl w:val="0"/>
          <w:numId w:val="9"/>
        </w:numPr>
        <w:tabs>
          <w:tab w:val="clear" w:pos="432"/>
          <w:tab w:val="num" w:pos="504"/>
        </w:tabs>
        <w:kinsoku w:val="0"/>
        <w:autoSpaceDE/>
        <w:autoSpaceDN/>
        <w:spacing w:before="288"/>
        <w:rPr>
          <w:rStyle w:val="CharacterStyle7"/>
          <w:rFonts w:ascii="Verdana" w:hAnsi="Verdana" w:cs="Verdana"/>
          <w:spacing w:val="2"/>
          <w:lang w:val="es-ES" w:eastAsia="es-ES"/>
        </w:rPr>
      </w:pPr>
      <w:r>
        <w:rPr>
          <w:rStyle w:val="CharacterStyle7"/>
          <w:rFonts w:ascii="Verdana" w:hAnsi="Verdana" w:cs="Verdana"/>
          <w:spacing w:val="2"/>
          <w:lang w:val="es-ES" w:eastAsia="es-ES"/>
        </w:rPr>
        <w:t xml:space="preserve">Participo como oferente del concurso público promovido por el CTP para </w:t>
      </w:r>
      <w:r>
        <w:rPr>
          <w:rStyle w:val="CharacterStyle7"/>
          <w:rFonts w:ascii="Verdana" w:hAnsi="Verdana" w:cs="Verdana"/>
          <w:spacing w:val="1"/>
          <w:lang w:val="es-ES" w:eastAsia="es-ES"/>
        </w:rPr>
        <w:t xml:space="preserve">el otorgamiento de 1034 concesiones para el servicio de Transporte público </w:t>
      </w:r>
      <w:r>
        <w:rPr>
          <w:rStyle w:val="CharacterStyle7"/>
          <w:rFonts w:ascii="Verdana" w:hAnsi="Verdana" w:cs="Verdana"/>
          <w:spacing w:val="5"/>
          <w:lang w:val="es-ES" w:eastAsia="es-ES"/>
        </w:rPr>
        <w:t xml:space="preserve">modalidad taxi con vehículos adaptados para personas con discapacidad, </w:t>
      </w:r>
      <w:r>
        <w:rPr>
          <w:rStyle w:val="CharacterStyle7"/>
          <w:rFonts w:ascii="Verdana" w:hAnsi="Verdana" w:cs="Verdana"/>
          <w:spacing w:val="2"/>
          <w:lang w:val="es-ES" w:eastAsia="es-ES"/>
        </w:rPr>
        <w:t>correspondiéndole la oferta N.</w:t>
      </w:r>
      <w:r w:rsidR="00B17A12">
        <w:rPr>
          <w:rStyle w:val="CharacterStyle7"/>
          <w:rFonts w:ascii="Verdana" w:hAnsi="Verdana" w:cs="Verdana"/>
          <w:spacing w:val="2"/>
          <w:lang w:val="es-ES" w:eastAsia="es-ES"/>
        </w:rPr>
        <w:t>XXX</w:t>
      </w:r>
      <w:r>
        <w:rPr>
          <w:rStyle w:val="CharacterStyle7"/>
          <w:rFonts w:ascii="Verdana" w:hAnsi="Verdana" w:cs="Verdana"/>
          <w:spacing w:val="2"/>
          <w:lang w:val="es-ES" w:eastAsia="es-ES"/>
        </w:rPr>
        <w:t>.</w:t>
      </w:r>
    </w:p>
    <w:p w:rsidR="00C9129E" w:rsidRDefault="00C9129E">
      <w:pPr>
        <w:pStyle w:val="Style13"/>
        <w:numPr>
          <w:ilvl w:val="0"/>
          <w:numId w:val="9"/>
        </w:numPr>
        <w:tabs>
          <w:tab w:val="clear" w:pos="432"/>
          <w:tab w:val="num" w:pos="504"/>
        </w:tabs>
        <w:kinsoku w:val="0"/>
        <w:autoSpaceDE/>
        <w:autoSpaceDN/>
        <w:spacing w:before="36"/>
        <w:rPr>
          <w:rStyle w:val="CharacterStyle7"/>
          <w:rFonts w:ascii="Verdana" w:hAnsi="Verdana" w:cs="Verdana"/>
          <w:spacing w:val="3"/>
          <w:lang w:val="es-ES" w:eastAsia="es-ES"/>
        </w:rPr>
      </w:pPr>
      <w:r>
        <w:rPr>
          <w:rStyle w:val="CharacterStyle7"/>
          <w:rFonts w:ascii="Verdana" w:hAnsi="Verdana" w:cs="Verdana"/>
          <w:spacing w:val="10"/>
          <w:lang w:val="es-ES" w:eastAsia="es-ES"/>
        </w:rPr>
        <w:t xml:space="preserve">La Dirección Jurídica del CTP mediante oficio DAJ 00973-2011, lo </w:t>
      </w:r>
      <w:r>
        <w:rPr>
          <w:rStyle w:val="CharacterStyle7"/>
          <w:rFonts w:ascii="Verdana" w:hAnsi="Verdana" w:cs="Verdana"/>
          <w:spacing w:val="4"/>
          <w:lang w:val="es-ES" w:eastAsia="es-ES"/>
        </w:rPr>
        <w:t xml:space="preserve">previno para que aportara certificación de la CCSS así como que prorrogara </w:t>
      </w:r>
      <w:r>
        <w:rPr>
          <w:rStyle w:val="CharacterStyle7"/>
          <w:rFonts w:ascii="Verdana" w:hAnsi="Verdana" w:cs="Verdana"/>
          <w:spacing w:val="3"/>
          <w:lang w:val="es-ES" w:eastAsia="es-ES"/>
        </w:rPr>
        <w:t>la vigencia de su oferta, lo cual cumplió y consta en el expediente principal.</w:t>
      </w:r>
    </w:p>
    <w:p w:rsidR="00C9129E" w:rsidRDefault="00C9129E">
      <w:pPr>
        <w:pStyle w:val="Style13"/>
        <w:numPr>
          <w:ilvl w:val="0"/>
          <w:numId w:val="9"/>
        </w:numPr>
        <w:tabs>
          <w:tab w:val="clear" w:pos="432"/>
          <w:tab w:val="num" w:pos="504"/>
        </w:tabs>
        <w:kinsoku w:val="0"/>
        <w:autoSpaceDE/>
        <w:autoSpaceDN/>
        <w:spacing w:before="36"/>
        <w:rPr>
          <w:rStyle w:val="CharacterStyle7"/>
          <w:rFonts w:ascii="Verdana" w:hAnsi="Verdana" w:cs="Verdana"/>
          <w:spacing w:val="2"/>
          <w:lang w:val="es-ES" w:eastAsia="es-ES"/>
        </w:rPr>
      </w:pPr>
      <w:r>
        <w:rPr>
          <w:rStyle w:val="CharacterStyle7"/>
          <w:rFonts w:ascii="Verdana" w:hAnsi="Verdana" w:cs="Verdana"/>
          <w:spacing w:val="3"/>
          <w:lang w:val="es-ES" w:eastAsia="es-ES"/>
        </w:rPr>
        <w:t xml:space="preserve">De conformidad con la calificación emitida por el órgano consultor, se omitió dar valor establecido en el artículo 8 del decreto, particularmente los </w:t>
      </w:r>
      <w:r>
        <w:rPr>
          <w:rStyle w:val="CharacterStyle7"/>
          <w:rFonts w:ascii="Verdana" w:hAnsi="Verdana" w:cs="Verdana"/>
          <w:spacing w:val="10"/>
          <w:lang w:val="es-ES" w:eastAsia="es-ES"/>
        </w:rPr>
        <w:t xml:space="preserve">40 puntos de la licencia, ya que tiene más de diez año de tenerla y lo </w:t>
      </w:r>
      <w:r>
        <w:rPr>
          <w:rStyle w:val="CharacterStyle7"/>
          <w:rFonts w:ascii="Verdana" w:hAnsi="Verdana" w:cs="Verdana"/>
          <w:spacing w:val="2"/>
          <w:lang w:val="es-ES" w:eastAsia="es-ES"/>
        </w:rPr>
        <w:t>demuestra con certificación adjunta.</w:t>
      </w:r>
    </w:p>
    <w:p w:rsidR="00C9129E" w:rsidRDefault="00C9129E">
      <w:pPr>
        <w:pStyle w:val="Style21"/>
        <w:numPr>
          <w:ilvl w:val="0"/>
          <w:numId w:val="9"/>
        </w:numPr>
        <w:tabs>
          <w:tab w:val="clear" w:pos="432"/>
          <w:tab w:val="num" w:pos="504"/>
        </w:tabs>
        <w:kinsoku w:val="0"/>
        <w:autoSpaceDE/>
        <w:autoSpaceDN/>
        <w:adjustRightInd/>
        <w:spacing w:before="36"/>
        <w:ind w:right="72"/>
        <w:rPr>
          <w:rFonts w:ascii="Verdana" w:hAnsi="Verdana" w:cs="Verdana"/>
          <w:spacing w:val="3"/>
          <w:sz w:val="20"/>
          <w:szCs w:val="20"/>
          <w:lang w:val="es-ES" w:eastAsia="es-ES"/>
        </w:rPr>
      </w:pPr>
      <w:r>
        <w:rPr>
          <w:rFonts w:ascii="Verdana" w:hAnsi="Verdana" w:cs="Verdana"/>
          <w:spacing w:val="2"/>
          <w:sz w:val="20"/>
          <w:szCs w:val="20"/>
          <w:lang w:val="es-ES" w:eastAsia="es-ES"/>
        </w:rPr>
        <w:t xml:space="preserve">Respecto al código de conductor y el tiempo de tenerlo, manifiesta que </w:t>
      </w:r>
      <w:r>
        <w:rPr>
          <w:rFonts w:ascii="Verdana" w:hAnsi="Verdana" w:cs="Verdana"/>
          <w:spacing w:val="3"/>
          <w:sz w:val="20"/>
          <w:szCs w:val="20"/>
          <w:lang w:val="es-ES" w:eastAsia="es-ES"/>
        </w:rPr>
        <w:t>tiene el mismo tiempo de la licencia.</w:t>
      </w:r>
    </w:p>
    <w:p w:rsidR="00C9129E" w:rsidRDefault="00C9129E">
      <w:pPr>
        <w:pStyle w:val="Style13"/>
        <w:numPr>
          <w:ilvl w:val="0"/>
          <w:numId w:val="9"/>
        </w:numPr>
        <w:tabs>
          <w:tab w:val="clear" w:pos="432"/>
          <w:tab w:val="num" w:pos="504"/>
        </w:tabs>
        <w:kinsoku w:val="0"/>
        <w:autoSpaceDE/>
        <w:autoSpaceDN/>
        <w:rPr>
          <w:rStyle w:val="CharacterStyle7"/>
          <w:rFonts w:ascii="Verdana" w:hAnsi="Verdana" w:cs="Verdana"/>
          <w:spacing w:val="3"/>
          <w:lang w:val="es-ES" w:eastAsia="es-ES"/>
        </w:rPr>
      </w:pPr>
      <w:r>
        <w:rPr>
          <w:rStyle w:val="CharacterStyle7"/>
          <w:rFonts w:ascii="Verdana" w:hAnsi="Verdana" w:cs="Verdana"/>
          <w:spacing w:val="11"/>
          <w:lang w:val="es-ES" w:eastAsia="es-ES"/>
        </w:rPr>
        <w:t xml:space="preserve">Respecto a los 20 puntos de profesionalismo en la prestación del </w:t>
      </w:r>
      <w:r>
        <w:rPr>
          <w:rStyle w:val="CharacterStyle7"/>
          <w:rFonts w:ascii="Verdana" w:hAnsi="Verdana" w:cs="Verdana"/>
          <w:spacing w:val="6"/>
          <w:lang w:val="es-ES" w:eastAsia="es-ES"/>
        </w:rPr>
        <w:t xml:space="preserve">servicio cuenta con el curso de Educación Vial implícito en la Licencia y el </w:t>
      </w:r>
      <w:r>
        <w:rPr>
          <w:rStyle w:val="CharacterStyle7"/>
          <w:rFonts w:ascii="Verdana" w:hAnsi="Verdana" w:cs="Verdana"/>
          <w:spacing w:val="3"/>
          <w:lang w:val="es-ES" w:eastAsia="es-ES"/>
        </w:rPr>
        <w:t>de relaciones públicas, por lo que debe obtener los veinte puntos.</w:t>
      </w:r>
    </w:p>
    <w:p w:rsidR="00C9129E" w:rsidRDefault="00C9129E">
      <w:pPr>
        <w:pStyle w:val="Style21"/>
        <w:numPr>
          <w:ilvl w:val="0"/>
          <w:numId w:val="10"/>
        </w:numPr>
        <w:tabs>
          <w:tab w:val="clear" w:pos="288"/>
          <w:tab w:val="num" w:pos="360"/>
        </w:tabs>
        <w:kinsoku w:val="0"/>
        <w:autoSpaceDE/>
        <w:autoSpaceDN/>
        <w:adjustRightInd/>
        <w:spacing w:after="1080"/>
        <w:ind w:right="72"/>
        <w:jc w:val="both"/>
        <w:rPr>
          <w:rFonts w:ascii="Verdana" w:hAnsi="Verdana" w:cs="Verdana"/>
          <w:spacing w:val="3"/>
          <w:sz w:val="20"/>
          <w:szCs w:val="20"/>
          <w:lang w:val="es-ES" w:eastAsia="es-ES"/>
        </w:rPr>
      </w:pPr>
      <w:r>
        <w:rPr>
          <w:rFonts w:ascii="Verdana" w:hAnsi="Verdana" w:cs="Verdana"/>
          <w:spacing w:val="3"/>
          <w:sz w:val="20"/>
          <w:szCs w:val="20"/>
          <w:lang w:val="es-ES" w:eastAsia="es-ES"/>
        </w:rPr>
        <w:t xml:space="preserve">Al no resultar elegible por una errónea calificación se encuentra frente a un acto viciado de nulidad en varios de sus elementos en los términos del </w:t>
      </w:r>
      <w:r>
        <w:rPr>
          <w:rFonts w:ascii="Verdana" w:hAnsi="Verdana" w:cs="Verdana"/>
          <w:spacing w:val="8"/>
          <w:sz w:val="20"/>
          <w:szCs w:val="20"/>
          <w:lang w:val="es-ES" w:eastAsia="es-ES"/>
        </w:rPr>
        <w:t xml:space="preserve">artículo 175 de la Ley General de la Administración Pública, por lo que </w:t>
      </w:r>
      <w:r>
        <w:rPr>
          <w:rFonts w:ascii="Verdana" w:hAnsi="Verdana" w:cs="Verdana"/>
          <w:spacing w:val="11"/>
          <w:sz w:val="20"/>
          <w:szCs w:val="20"/>
          <w:lang w:val="es-ES" w:eastAsia="es-ES"/>
        </w:rPr>
        <w:t xml:space="preserve">solicita se le restituya como oferente y en su efecto se anule el acto. </w:t>
      </w:r>
      <w:r>
        <w:rPr>
          <w:rFonts w:ascii="Verdana" w:hAnsi="Verdana" w:cs="Verdana"/>
          <w:spacing w:val="3"/>
          <w:sz w:val="20"/>
          <w:szCs w:val="20"/>
          <w:lang w:val="es-ES" w:eastAsia="es-ES"/>
        </w:rPr>
        <w:t>(Léanse folios 24 al 25 vuelto del expediente administrativo).</w:t>
      </w:r>
    </w:p>
    <w:p w:rsidR="00081208" w:rsidRDefault="00081208">
      <w:pPr>
        <w:pStyle w:val="Style21"/>
        <w:kinsoku w:val="0"/>
        <w:autoSpaceDE/>
        <w:autoSpaceDN/>
        <w:adjustRightInd/>
        <w:jc w:val="both"/>
        <w:rPr>
          <w:rFonts w:ascii="Verdana" w:hAnsi="Verdana" w:cs="Verdana"/>
          <w:b/>
          <w:bCs/>
          <w:spacing w:val="26"/>
          <w:w w:val="105"/>
          <w:sz w:val="20"/>
          <w:szCs w:val="20"/>
          <w:lang w:val="es-ES" w:eastAsia="es-ES"/>
        </w:rPr>
      </w:pPr>
    </w:p>
    <w:p w:rsidR="00B17A12" w:rsidRDefault="00B17A12">
      <w:pPr>
        <w:pStyle w:val="Style21"/>
        <w:kinsoku w:val="0"/>
        <w:autoSpaceDE/>
        <w:autoSpaceDN/>
        <w:adjustRightInd/>
        <w:jc w:val="both"/>
        <w:rPr>
          <w:rFonts w:ascii="Verdana" w:hAnsi="Verdana" w:cs="Verdana"/>
          <w:b/>
          <w:bCs/>
          <w:spacing w:val="26"/>
          <w:w w:val="105"/>
          <w:sz w:val="20"/>
          <w:szCs w:val="20"/>
          <w:lang w:val="es-ES" w:eastAsia="es-ES"/>
        </w:rPr>
      </w:pPr>
    </w:p>
    <w:p w:rsidR="00081208" w:rsidRDefault="00081208">
      <w:pPr>
        <w:pStyle w:val="Style21"/>
        <w:kinsoku w:val="0"/>
        <w:autoSpaceDE/>
        <w:autoSpaceDN/>
        <w:adjustRightInd/>
        <w:jc w:val="both"/>
        <w:rPr>
          <w:rFonts w:ascii="Verdana" w:hAnsi="Verdana" w:cs="Verdana"/>
          <w:b/>
          <w:bCs/>
          <w:spacing w:val="26"/>
          <w:w w:val="105"/>
          <w:sz w:val="20"/>
          <w:szCs w:val="20"/>
          <w:lang w:val="es-ES" w:eastAsia="es-ES"/>
        </w:rPr>
      </w:pPr>
    </w:p>
    <w:p w:rsidR="00C9129E" w:rsidRDefault="00C9129E">
      <w:pPr>
        <w:pStyle w:val="Style21"/>
        <w:kinsoku w:val="0"/>
        <w:autoSpaceDE/>
        <w:autoSpaceDN/>
        <w:adjustRightInd/>
        <w:jc w:val="both"/>
        <w:rPr>
          <w:rFonts w:ascii="Verdana" w:hAnsi="Verdana" w:cs="Verdana"/>
          <w:b/>
          <w:bCs/>
          <w:w w:val="105"/>
          <w:sz w:val="20"/>
          <w:szCs w:val="20"/>
          <w:lang w:val="es-ES" w:eastAsia="es-ES"/>
        </w:rPr>
      </w:pPr>
      <w:r>
        <w:rPr>
          <w:rFonts w:ascii="Verdana" w:hAnsi="Verdana" w:cs="Verdana"/>
          <w:b/>
          <w:bCs/>
          <w:spacing w:val="26"/>
          <w:w w:val="105"/>
          <w:sz w:val="20"/>
          <w:szCs w:val="20"/>
          <w:lang w:val="es-ES" w:eastAsia="es-ES"/>
        </w:rPr>
        <w:lastRenderedPageBreak/>
        <w:t xml:space="preserve">LICITACION PUBLICA PARA LA ADJUDICACION DE 1034 </w:t>
      </w:r>
      <w:r>
        <w:rPr>
          <w:rFonts w:ascii="Verdana" w:hAnsi="Verdana" w:cs="Verdana"/>
          <w:b/>
          <w:bCs/>
          <w:spacing w:val="13"/>
          <w:w w:val="105"/>
          <w:sz w:val="20"/>
          <w:szCs w:val="20"/>
          <w:lang w:val="es-ES" w:eastAsia="es-ES"/>
        </w:rPr>
        <w:t xml:space="preserve">CONCESIONES PARA EL SERVICIO DE TRANSPORTE PUBLICO </w:t>
      </w:r>
      <w:r>
        <w:rPr>
          <w:rFonts w:ascii="Verdana" w:hAnsi="Verdana" w:cs="Verdana"/>
          <w:b/>
          <w:bCs/>
          <w:spacing w:val="1"/>
          <w:w w:val="105"/>
          <w:sz w:val="20"/>
          <w:szCs w:val="20"/>
          <w:lang w:val="es-ES" w:eastAsia="es-ES"/>
        </w:rPr>
        <w:t xml:space="preserve">MODALIDAD TAXI, CON VEHICULOS ADAPTADOS PARA PERSONAS </w:t>
      </w:r>
      <w:r>
        <w:rPr>
          <w:rFonts w:ascii="Verdana" w:hAnsi="Verdana" w:cs="Verdana"/>
          <w:b/>
          <w:bCs/>
          <w:spacing w:val="-5"/>
          <w:w w:val="105"/>
          <w:sz w:val="20"/>
          <w:szCs w:val="20"/>
          <w:lang w:val="es-ES" w:eastAsia="es-ES"/>
        </w:rPr>
        <w:t xml:space="preserve">CON DISCAPACIDAD PROMOVIDA POR EL CONSEJO DE TRANSPORTE </w:t>
      </w:r>
      <w:r>
        <w:rPr>
          <w:rFonts w:ascii="Verdana" w:hAnsi="Verdana" w:cs="Verdana"/>
          <w:b/>
          <w:bCs/>
          <w:w w:val="105"/>
          <w:sz w:val="20"/>
          <w:szCs w:val="20"/>
          <w:lang w:val="es-ES" w:eastAsia="es-ES"/>
        </w:rPr>
        <w:t>PUBLICO</w:t>
      </w:r>
    </w:p>
    <w:p w:rsidR="00C9129E" w:rsidRDefault="00C9129E">
      <w:pPr>
        <w:pStyle w:val="Style14"/>
        <w:kinsoku w:val="0"/>
        <w:autoSpaceDE/>
        <w:autoSpaceDN/>
        <w:spacing w:before="504"/>
        <w:ind w:right="0"/>
        <w:rPr>
          <w:rStyle w:val="CharacterStyle8"/>
          <w:rFonts w:ascii="Verdana" w:hAnsi="Verdana" w:cs="Verdana"/>
          <w:spacing w:val="2"/>
          <w:sz w:val="20"/>
          <w:szCs w:val="20"/>
          <w:lang w:val="es-ES" w:eastAsia="es-ES"/>
        </w:rPr>
      </w:pPr>
      <w:r>
        <w:rPr>
          <w:rStyle w:val="CharacterStyle8"/>
          <w:rFonts w:ascii="Verdana" w:hAnsi="Verdana" w:cs="Verdana"/>
          <w:spacing w:val="9"/>
          <w:sz w:val="20"/>
          <w:szCs w:val="20"/>
          <w:lang w:val="es-ES" w:eastAsia="es-ES"/>
        </w:rPr>
        <w:t xml:space="preserve">El Consejo de Transporte Público promueve la licitación pública para el </w:t>
      </w:r>
      <w:r>
        <w:rPr>
          <w:rStyle w:val="CharacterStyle8"/>
          <w:rFonts w:ascii="Verdana" w:hAnsi="Verdana" w:cs="Verdana"/>
          <w:spacing w:val="6"/>
          <w:sz w:val="20"/>
          <w:szCs w:val="20"/>
          <w:lang w:val="es-ES" w:eastAsia="es-ES"/>
        </w:rPr>
        <w:t xml:space="preserve">otorgamiento de 1034 concesiones para el servicio de transporte público </w:t>
      </w:r>
      <w:r>
        <w:rPr>
          <w:rStyle w:val="CharacterStyle8"/>
          <w:rFonts w:ascii="Verdana" w:hAnsi="Verdana" w:cs="Verdana"/>
          <w:spacing w:val="7"/>
          <w:sz w:val="20"/>
          <w:szCs w:val="20"/>
          <w:lang w:val="es-ES" w:eastAsia="es-ES"/>
        </w:rPr>
        <w:t xml:space="preserve">modalidad taxi con vehículos adaptados para personas con discapacidad </w:t>
      </w:r>
      <w:r>
        <w:rPr>
          <w:rStyle w:val="CharacterStyle8"/>
          <w:rFonts w:ascii="Verdana" w:hAnsi="Verdana" w:cs="Verdana"/>
          <w:spacing w:val="5"/>
          <w:sz w:val="20"/>
          <w:szCs w:val="20"/>
          <w:lang w:val="es-ES" w:eastAsia="es-ES"/>
        </w:rPr>
        <w:t xml:space="preserve">mediante </w:t>
      </w:r>
      <w:r>
        <w:rPr>
          <w:rStyle w:val="CharacterStyle8"/>
          <w:rFonts w:ascii="Verdana" w:hAnsi="Verdana" w:cs="Verdana"/>
          <w:b/>
          <w:bCs/>
          <w:spacing w:val="5"/>
          <w:w w:val="105"/>
          <w:sz w:val="20"/>
          <w:szCs w:val="20"/>
          <w:u w:val="single"/>
          <w:lang w:val="es-ES" w:eastAsia="es-ES"/>
        </w:rPr>
        <w:t>Decreto Ejecutivo 35448-MOPT,</w:t>
      </w:r>
      <w:r>
        <w:rPr>
          <w:rStyle w:val="CharacterStyle8"/>
          <w:rFonts w:ascii="Verdana" w:hAnsi="Verdana" w:cs="Verdana"/>
          <w:spacing w:val="5"/>
          <w:sz w:val="20"/>
          <w:szCs w:val="20"/>
          <w:lang w:val="es-ES" w:eastAsia="es-ES"/>
        </w:rPr>
        <w:t xml:space="preserve"> publicado en La Gaceta No. </w:t>
      </w:r>
      <w:r>
        <w:rPr>
          <w:rStyle w:val="CharacterStyle8"/>
          <w:rFonts w:ascii="Verdana" w:hAnsi="Verdana" w:cs="Verdana"/>
          <w:spacing w:val="7"/>
          <w:sz w:val="20"/>
          <w:szCs w:val="20"/>
          <w:lang w:val="es-ES" w:eastAsia="es-ES"/>
        </w:rPr>
        <w:t xml:space="preserve">165 del 25 de agosto del 2009 el cual es </w:t>
      </w:r>
      <w:r>
        <w:rPr>
          <w:rStyle w:val="CharacterStyle8"/>
          <w:rFonts w:ascii="Verdana" w:hAnsi="Verdana" w:cs="Verdana"/>
          <w:b/>
          <w:bCs/>
          <w:spacing w:val="7"/>
          <w:w w:val="105"/>
          <w:sz w:val="20"/>
          <w:szCs w:val="20"/>
          <w:lang w:val="es-ES" w:eastAsia="es-ES"/>
        </w:rPr>
        <w:t xml:space="preserve">modificado </w:t>
      </w:r>
      <w:r>
        <w:rPr>
          <w:rStyle w:val="CharacterStyle8"/>
          <w:rFonts w:ascii="Verdana" w:hAnsi="Verdana" w:cs="Verdana"/>
          <w:spacing w:val="7"/>
          <w:sz w:val="20"/>
          <w:szCs w:val="20"/>
          <w:lang w:val="es-ES" w:eastAsia="es-ES"/>
        </w:rPr>
        <w:t xml:space="preserve">posteriormente por </w:t>
      </w:r>
      <w:r>
        <w:rPr>
          <w:rStyle w:val="CharacterStyle8"/>
          <w:rFonts w:ascii="Verdana" w:hAnsi="Verdana" w:cs="Verdana"/>
          <w:sz w:val="20"/>
          <w:szCs w:val="20"/>
          <w:lang w:val="es-ES" w:eastAsia="es-ES"/>
        </w:rPr>
        <w:t xml:space="preserve">los </w:t>
      </w:r>
      <w:r>
        <w:rPr>
          <w:rStyle w:val="CharacterStyle8"/>
          <w:rFonts w:ascii="Verdana" w:hAnsi="Verdana" w:cs="Verdana"/>
          <w:b/>
          <w:bCs/>
          <w:w w:val="105"/>
          <w:sz w:val="20"/>
          <w:szCs w:val="20"/>
          <w:lang w:val="es-ES" w:eastAsia="es-ES"/>
        </w:rPr>
        <w:t xml:space="preserve">Decretos Ejecutivos 35875-MOPT y 35985-MOPT, </w:t>
      </w:r>
      <w:r>
        <w:rPr>
          <w:rStyle w:val="CharacterStyle8"/>
          <w:rFonts w:ascii="Verdana" w:hAnsi="Verdana" w:cs="Verdana"/>
          <w:sz w:val="20"/>
          <w:szCs w:val="20"/>
          <w:lang w:val="es-ES" w:eastAsia="es-ES"/>
        </w:rPr>
        <w:t xml:space="preserve">publicados </w:t>
      </w:r>
      <w:r>
        <w:rPr>
          <w:rStyle w:val="CharacterStyle8"/>
          <w:rFonts w:ascii="Verdana" w:hAnsi="Verdana" w:cs="Verdana"/>
          <w:spacing w:val="9"/>
          <w:sz w:val="20"/>
          <w:szCs w:val="20"/>
          <w:lang w:val="es-ES" w:eastAsia="es-ES"/>
        </w:rPr>
        <w:t xml:space="preserve">respectivamente el 12 de abril del 2010 en La Gaceta No. 69 y el 21 de </w:t>
      </w:r>
      <w:r>
        <w:rPr>
          <w:rStyle w:val="CharacterStyle8"/>
          <w:rFonts w:ascii="Verdana" w:hAnsi="Verdana" w:cs="Verdana"/>
          <w:spacing w:val="2"/>
          <w:sz w:val="20"/>
          <w:szCs w:val="20"/>
          <w:lang w:val="es-ES" w:eastAsia="es-ES"/>
        </w:rPr>
        <w:t>mayo del 2010 en La Gaceta No. 98.</w:t>
      </w:r>
    </w:p>
    <w:p w:rsidR="00C9129E" w:rsidRDefault="00C9129E">
      <w:pPr>
        <w:pStyle w:val="Style14"/>
        <w:kinsoku w:val="0"/>
        <w:autoSpaceDE/>
        <w:autoSpaceDN/>
        <w:spacing w:before="576"/>
        <w:rPr>
          <w:rStyle w:val="CharacterStyle8"/>
          <w:rFonts w:ascii="Verdana" w:hAnsi="Verdana" w:cs="Verdana"/>
          <w:sz w:val="20"/>
          <w:szCs w:val="20"/>
          <w:lang w:val="es-ES" w:eastAsia="es-ES"/>
        </w:rPr>
      </w:pPr>
      <w:r>
        <w:rPr>
          <w:rStyle w:val="CharacterStyle8"/>
          <w:rFonts w:ascii="Verdana" w:hAnsi="Verdana" w:cs="Verdana"/>
          <w:b/>
          <w:bCs/>
          <w:w w:val="105"/>
          <w:sz w:val="20"/>
          <w:szCs w:val="20"/>
          <w:u w:val="single"/>
          <w:lang w:val="es-ES" w:eastAsia="es-ES"/>
        </w:rPr>
        <w:t>El Decreto Ejecutivo 35985-MOPT,</w:t>
      </w:r>
      <w:r>
        <w:rPr>
          <w:rStyle w:val="CharacterStyle8"/>
          <w:rFonts w:ascii="Verdana" w:hAnsi="Verdana" w:cs="Verdana"/>
          <w:sz w:val="20"/>
          <w:szCs w:val="20"/>
          <w:lang w:val="es-ES" w:eastAsia="es-ES"/>
        </w:rPr>
        <w:t xml:space="preserve"> mediante el artículo 17, modifica el artículo 8 del </w:t>
      </w:r>
      <w:r>
        <w:rPr>
          <w:rStyle w:val="CharacterStyle8"/>
          <w:rFonts w:ascii="Verdana" w:hAnsi="Verdana" w:cs="Verdana"/>
          <w:b/>
          <w:bCs/>
          <w:w w:val="105"/>
          <w:sz w:val="20"/>
          <w:szCs w:val="20"/>
          <w:u w:val="single"/>
          <w:lang w:val="es-ES" w:eastAsia="es-ES"/>
        </w:rPr>
        <w:t>Decreto Ejecutivo 35448-MOPT,</w:t>
      </w:r>
      <w:r>
        <w:rPr>
          <w:rStyle w:val="CharacterStyle8"/>
          <w:rFonts w:ascii="Verdana" w:hAnsi="Verdana" w:cs="Verdana"/>
          <w:b/>
          <w:bCs/>
          <w:w w:val="105"/>
          <w:sz w:val="20"/>
          <w:szCs w:val="20"/>
          <w:lang w:val="es-ES" w:eastAsia="es-ES"/>
        </w:rPr>
        <w:t xml:space="preserve"> el cual dispone la tabla de evaluación de las ofertas, </w:t>
      </w:r>
      <w:r>
        <w:rPr>
          <w:rStyle w:val="CharacterStyle8"/>
          <w:rFonts w:ascii="Verdana" w:hAnsi="Verdana" w:cs="Verdana"/>
          <w:sz w:val="20"/>
          <w:szCs w:val="20"/>
          <w:lang w:val="es-ES" w:eastAsia="es-ES"/>
        </w:rPr>
        <w:t>de la siguiente forma:</w:t>
      </w:r>
    </w:p>
    <w:p w:rsidR="00C9129E" w:rsidRDefault="00C9129E">
      <w:pPr>
        <w:pStyle w:val="Style15"/>
        <w:kinsoku w:val="0"/>
        <w:autoSpaceDE/>
        <w:autoSpaceDN/>
        <w:ind w:left="288"/>
        <w:rPr>
          <w:rStyle w:val="CharacterStyle8"/>
          <w:rFonts w:ascii="Verdana" w:hAnsi="Verdana" w:cs="Verdana"/>
          <w:spacing w:val="2"/>
          <w:lang w:val="es-ES" w:eastAsia="es-ES"/>
        </w:rPr>
      </w:pPr>
      <w:r>
        <w:rPr>
          <w:rStyle w:val="CharacterStyle8"/>
          <w:rFonts w:ascii="Verdana" w:hAnsi="Verdana" w:cs="Verdana"/>
          <w:i/>
          <w:iCs/>
          <w:w w:val="105"/>
          <w:lang w:val="es-ES" w:eastAsia="es-ES"/>
        </w:rPr>
        <w:t xml:space="preserve">"Artículo 17. —Modifíquese el artículo 8° del Decreto Ejecutivo N° 35448- </w:t>
      </w:r>
      <w:r>
        <w:rPr>
          <w:rStyle w:val="CharacterStyle8"/>
          <w:rFonts w:ascii="Verdana" w:hAnsi="Verdana" w:cs="Verdana"/>
          <w:i/>
          <w:iCs/>
          <w:spacing w:val="4"/>
          <w:w w:val="105"/>
          <w:lang w:val="es-ES" w:eastAsia="es-ES"/>
        </w:rPr>
        <w:t xml:space="preserve">MOPT "Reglamento para participar en la Licitación Pública tendiente a </w:t>
      </w:r>
      <w:r>
        <w:rPr>
          <w:rStyle w:val="CharacterStyle8"/>
          <w:rFonts w:ascii="Verdana" w:hAnsi="Verdana" w:cs="Verdana"/>
          <w:i/>
          <w:iCs/>
          <w:w w:val="105"/>
          <w:lang w:val="es-ES" w:eastAsia="es-ES"/>
        </w:rPr>
        <w:t xml:space="preserve">concesionar 1034 placas para transporte público en modalidad Taxi, con vehículos adaptados para personas con discapacidad" para que en adelante </w:t>
      </w:r>
      <w:r>
        <w:rPr>
          <w:rStyle w:val="CharacterStyle8"/>
          <w:rFonts w:ascii="Verdana" w:hAnsi="Verdana" w:cs="Verdana"/>
          <w:i/>
          <w:iCs/>
          <w:spacing w:val="5"/>
          <w:w w:val="105"/>
          <w:lang w:val="es-ES" w:eastAsia="es-ES"/>
        </w:rPr>
        <w:t xml:space="preserve">se lea así: Artículo 8°—Tabla </w:t>
      </w:r>
      <w:r>
        <w:rPr>
          <w:rStyle w:val="CharacterStyle8"/>
          <w:rFonts w:ascii="Verdana" w:hAnsi="Verdana" w:cs="Verdana"/>
          <w:b/>
          <w:bCs/>
          <w:i/>
          <w:iCs/>
          <w:spacing w:val="5"/>
          <w:w w:val="105"/>
          <w:lang w:val="es-ES" w:eastAsia="es-ES"/>
        </w:rPr>
        <w:t xml:space="preserve">de evaluación de ofertas. </w:t>
      </w:r>
      <w:r>
        <w:rPr>
          <w:rStyle w:val="CharacterStyle8"/>
          <w:rFonts w:ascii="Verdana" w:hAnsi="Verdana" w:cs="Verdana"/>
          <w:i/>
          <w:iCs/>
          <w:spacing w:val="5"/>
          <w:w w:val="105"/>
          <w:lang w:val="es-ES" w:eastAsia="es-ES"/>
        </w:rPr>
        <w:t xml:space="preserve">Las ofertas </w:t>
      </w:r>
      <w:r>
        <w:rPr>
          <w:rStyle w:val="CharacterStyle8"/>
          <w:rFonts w:ascii="Verdana" w:hAnsi="Verdana" w:cs="Verdana"/>
          <w:b/>
          <w:bCs/>
          <w:i/>
          <w:iCs/>
          <w:spacing w:val="-1"/>
          <w:w w:val="110"/>
          <w:u w:val="single"/>
          <w:lang w:val="es-ES" w:eastAsia="es-ES"/>
        </w:rPr>
        <w:t xml:space="preserve">serán evaluadas de conformidad con el artículo 33 de la Lev </w:t>
      </w:r>
      <w:r>
        <w:rPr>
          <w:rStyle w:val="CharacterStyle8"/>
          <w:rFonts w:ascii="Arial" w:hAnsi="Arial" w:cs="Arial"/>
          <w:i/>
          <w:iCs/>
          <w:spacing w:val="-1"/>
          <w:w w:val="115"/>
          <w:sz w:val="24"/>
          <w:szCs w:val="24"/>
          <w:u w:val="single"/>
          <w:lang w:val="es-ES" w:eastAsia="es-ES"/>
        </w:rPr>
        <w:t xml:space="preserve">N°  </w:t>
      </w:r>
      <w:r>
        <w:rPr>
          <w:rStyle w:val="CharacterStyle8"/>
          <w:rFonts w:ascii="Verdana" w:hAnsi="Verdana" w:cs="Verdana"/>
          <w:i/>
          <w:iCs/>
          <w:spacing w:val="-1"/>
          <w:w w:val="105"/>
          <w:lang w:val="es-ES" w:eastAsia="es-ES"/>
        </w:rPr>
        <w:t xml:space="preserve">7969 "Ley Reguladora del Servicio Público de Transporte Remunerado de </w:t>
      </w:r>
      <w:r>
        <w:rPr>
          <w:rStyle w:val="CharacterStyle8"/>
          <w:rFonts w:ascii="Verdana" w:hAnsi="Verdana" w:cs="Verdana"/>
          <w:i/>
          <w:iCs/>
          <w:w w:val="105"/>
          <w:lang w:val="es-ES" w:eastAsia="es-ES"/>
        </w:rPr>
        <w:t xml:space="preserve">Personas en la Modalidad de Taxi". </w:t>
      </w:r>
      <w:r>
        <w:rPr>
          <w:rStyle w:val="CharacterStyle8"/>
          <w:rFonts w:ascii="Verdana" w:hAnsi="Verdana" w:cs="Verdana"/>
          <w:b/>
          <w:bCs/>
          <w:i/>
          <w:iCs/>
          <w:w w:val="105"/>
          <w:lang w:val="es-ES" w:eastAsia="es-ES"/>
        </w:rPr>
        <w:t xml:space="preserve">Transitorio único.—El </w:t>
      </w:r>
      <w:r>
        <w:rPr>
          <w:rStyle w:val="CharacterStyle8"/>
          <w:rFonts w:ascii="Verdana" w:hAnsi="Verdana" w:cs="Verdana"/>
          <w:i/>
          <w:iCs/>
          <w:w w:val="105"/>
          <w:lang w:val="es-ES" w:eastAsia="es-ES"/>
        </w:rPr>
        <w:t xml:space="preserve">plazo otorgado </w:t>
      </w:r>
      <w:r>
        <w:rPr>
          <w:rStyle w:val="CharacterStyle8"/>
          <w:rFonts w:ascii="Verdana" w:hAnsi="Verdana" w:cs="Verdana"/>
          <w:i/>
          <w:iCs/>
          <w:spacing w:val="-2"/>
          <w:w w:val="105"/>
          <w:lang w:val="es-ES" w:eastAsia="es-ES"/>
        </w:rPr>
        <w:t xml:space="preserve">para la recepción de ofertas indicada en el artículo 4 del Decreto ejecutivo </w:t>
      </w:r>
      <w:r>
        <w:rPr>
          <w:rStyle w:val="CharacterStyle8"/>
          <w:rFonts w:ascii="Verdana" w:hAnsi="Verdana" w:cs="Verdana"/>
          <w:i/>
          <w:iCs/>
          <w:spacing w:val="3"/>
          <w:w w:val="105"/>
          <w:lang w:val="es-ES" w:eastAsia="es-ES"/>
        </w:rPr>
        <w:t xml:space="preserve">35448-MOPT, denominado "Reglamento para participar en la Licitación </w:t>
      </w:r>
      <w:r>
        <w:rPr>
          <w:rStyle w:val="CharacterStyle8"/>
          <w:rFonts w:ascii="Verdana" w:hAnsi="Verdana" w:cs="Verdana"/>
          <w:i/>
          <w:iCs/>
          <w:spacing w:val="2"/>
          <w:w w:val="105"/>
          <w:lang w:val="es-ES" w:eastAsia="es-ES"/>
        </w:rPr>
        <w:t xml:space="preserve">Pública tendiente a concesionar 1034 placas para transporte público en </w:t>
      </w:r>
      <w:r>
        <w:rPr>
          <w:rStyle w:val="CharacterStyle8"/>
          <w:rFonts w:ascii="Verdana" w:hAnsi="Verdana" w:cs="Verdana"/>
          <w:i/>
          <w:iCs/>
          <w:spacing w:val="-2"/>
          <w:w w:val="105"/>
          <w:lang w:val="es-ES" w:eastAsia="es-ES"/>
        </w:rPr>
        <w:t xml:space="preserve">modalidad Taxi, con vehículos adaptados para personas con discapacidad" </w:t>
      </w:r>
      <w:r>
        <w:rPr>
          <w:rStyle w:val="CharacterStyle8"/>
          <w:rFonts w:ascii="Verdana" w:hAnsi="Verdana" w:cs="Verdana"/>
          <w:i/>
          <w:iCs/>
          <w:spacing w:val="5"/>
          <w:w w:val="105"/>
          <w:lang w:val="es-ES" w:eastAsia="es-ES"/>
        </w:rPr>
        <w:t xml:space="preserve">iniciará a correr a partir de la publicación del presente Decreto.". </w:t>
      </w:r>
      <w:r>
        <w:rPr>
          <w:rStyle w:val="CharacterStyle8"/>
          <w:rFonts w:ascii="Verdana" w:hAnsi="Verdana" w:cs="Verdana"/>
          <w:spacing w:val="5"/>
          <w:lang w:val="es-ES" w:eastAsia="es-ES"/>
        </w:rPr>
        <w:t xml:space="preserve">(Lo </w:t>
      </w:r>
      <w:r>
        <w:rPr>
          <w:rStyle w:val="CharacterStyle8"/>
          <w:rFonts w:ascii="Verdana" w:hAnsi="Verdana" w:cs="Verdana"/>
          <w:spacing w:val="2"/>
          <w:lang w:val="es-ES" w:eastAsia="es-ES"/>
        </w:rPr>
        <w:t>subrayado no es del original)</w:t>
      </w:r>
    </w:p>
    <w:p w:rsidR="00C9129E" w:rsidRDefault="00C9129E">
      <w:pPr>
        <w:pStyle w:val="Style14"/>
        <w:kinsoku w:val="0"/>
        <w:autoSpaceDE/>
        <w:autoSpaceDN/>
        <w:rPr>
          <w:rStyle w:val="CharacterStyle8"/>
          <w:rFonts w:ascii="Verdana" w:hAnsi="Verdana" w:cs="Verdana"/>
          <w:spacing w:val="2"/>
          <w:sz w:val="20"/>
          <w:szCs w:val="20"/>
          <w:lang w:val="es-ES" w:eastAsia="es-ES"/>
        </w:rPr>
      </w:pPr>
      <w:r>
        <w:rPr>
          <w:rStyle w:val="CharacterStyle8"/>
          <w:rFonts w:ascii="Verdana" w:hAnsi="Verdana" w:cs="Verdana"/>
          <w:spacing w:val="11"/>
          <w:sz w:val="20"/>
          <w:szCs w:val="20"/>
          <w:lang w:val="es-ES" w:eastAsia="es-ES"/>
        </w:rPr>
        <w:t xml:space="preserve">La Ley Reguladora del Servicio Público de Transporte Remunerado de </w:t>
      </w:r>
      <w:r>
        <w:rPr>
          <w:rStyle w:val="CharacterStyle8"/>
          <w:rFonts w:ascii="Verdana" w:hAnsi="Verdana" w:cs="Verdana"/>
          <w:spacing w:val="3"/>
          <w:sz w:val="20"/>
          <w:szCs w:val="20"/>
          <w:lang w:val="es-ES" w:eastAsia="es-ES"/>
        </w:rPr>
        <w:t xml:space="preserve">Personas en Vehículos en la modalidad taxi, Ley 7969, del 28 de enero del </w:t>
      </w:r>
      <w:r>
        <w:rPr>
          <w:rStyle w:val="CharacterStyle8"/>
          <w:rFonts w:ascii="Verdana" w:hAnsi="Verdana" w:cs="Verdana"/>
          <w:spacing w:val="2"/>
          <w:sz w:val="20"/>
          <w:szCs w:val="20"/>
          <w:lang w:val="es-ES" w:eastAsia="es-ES"/>
        </w:rPr>
        <w:t>2000, establece en el artículo 33 lo siguiente:</w:t>
      </w:r>
    </w:p>
    <w:p w:rsidR="00C9129E" w:rsidRDefault="00C9129E">
      <w:pPr>
        <w:pStyle w:val="Style15"/>
        <w:kinsoku w:val="0"/>
        <w:autoSpaceDE/>
        <w:autoSpaceDN/>
        <w:spacing w:before="288"/>
        <w:rPr>
          <w:rStyle w:val="CharacterStyle8"/>
          <w:rFonts w:ascii="Verdana" w:hAnsi="Verdana" w:cs="Verdana"/>
          <w:spacing w:val="2"/>
          <w:lang w:val="es-ES" w:eastAsia="es-ES"/>
        </w:rPr>
      </w:pPr>
      <w:r>
        <w:rPr>
          <w:rStyle w:val="CharacterStyle8"/>
          <w:rFonts w:ascii="Verdana" w:hAnsi="Verdana" w:cs="Verdana"/>
          <w:spacing w:val="7"/>
          <w:lang w:val="es-ES" w:eastAsia="es-ES"/>
        </w:rPr>
        <w:t xml:space="preserve">"Artículo 33. —Tabla de evaluación de ofertas. Todo concurso que se </w:t>
      </w:r>
      <w:r>
        <w:rPr>
          <w:rStyle w:val="CharacterStyle8"/>
          <w:rFonts w:ascii="Verdana" w:hAnsi="Verdana" w:cs="Verdana"/>
          <w:spacing w:val="4"/>
          <w:lang w:val="es-ES" w:eastAsia="es-ES"/>
        </w:rPr>
        <w:t xml:space="preserve">publique deberá contener una tabla de evaluación en la que se califiquen </w:t>
      </w:r>
      <w:r>
        <w:rPr>
          <w:rStyle w:val="CharacterStyle8"/>
          <w:rFonts w:ascii="Verdana" w:hAnsi="Verdana" w:cs="Verdana"/>
          <w:spacing w:val="2"/>
          <w:lang w:val="es-ES" w:eastAsia="es-ES"/>
        </w:rPr>
        <w:t>los siguientes puntos:</w:t>
      </w:r>
    </w:p>
    <w:p w:rsidR="00C9129E" w:rsidRDefault="00C9129E">
      <w:pPr>
        <w:pStyle w:val="Style15"/>
        <w:numPr>
          <w:ilvl w:val="0"/>
          <w:numId w:val="11"/>
        </w:numPr>
        <w:tabs>
          <w:tab w:val="clear" w:pos="288"/>
          <w:tab w:val="num" w:pos="864"/>
        </w:tabs>
        <w:kinsoku w:val="0"/>
        <w:autoSpaceDE/>
        <w:autoSpaceDN/>
        <w:rPr>
          <w:rStyle w:val="CharacterStyle8"/>
          <w:rFonts w:ascii="Verdana" w:hAnsi="Verdana" w:cs="Verdana"/>
          <w:spacing w:val="2"/>
          <w:lang w:val="es-ES" w:eastAsia="es-ES"/>
        </w:rPr>
      </w:pPr>
      <w:r>
        <w:rPr>
          <w:rStyle w:val="CharacterStyle8"/>
          <w:rFonts w:ascii="Verdana" w:hAnsi="Verdana" w:cs="Verdana"/>
          <w:spacing w:val="5"/>
          <w:lang w:val="es-ES" w:eastAsia="es-ES"/>
        </w:rPr>
        <w:t xml:space="preserve">Experiencia en la prestación del servicio público: Se acreditará hasta </w:t>
      </w:r>
      <w:r>
        <w:rPr>
          <w:rStyle w:val="CharacterStyle8"/>
          <w:rFonts w:ascii="Verdana" w:hAnsi="Verdana" w:cs="Verdana"/>
          <w:spacing w:val="11"/>
          <w:lang w:val="es-ES" w:eastAsia="es-ES"/>
        </w:rPr>
        <w:t xml:space="preserve">el cuarenta por ciento (40%) del total de puntos por evaluar en la </w:t>
      </w:r>
      <w:r>
        <w:rPr>
          <w:rStyle w:val="CharacterStyle8"/>
          <w:rFonts w:ascii="Verdana" w:hAnsi="Verdana" w:cs="Verdana"/>
          <w:spacing w:val="4"/>
          <w:lang w:val="es-ES" w:eastAsia="es-ES"/>
        </w:rPr>
        <w:t>siguiente forma: cuatro puntos por cada año de poseer la licencia tipo C</w:t>
      </w:r>
      <w:r>
        <w:rPr>
          <w:rStyle w:val="CharacterStyle8"/>
          <w:rFonts w:ascii="Verdana" w:hAnsi="Verdana" w:cs="Verdana"/>
          <w:spacing w:val="4"/>
          <w:lang w:val="es-ES" w:eastAsia="es-ES"/>
        </w:rPr>
        <w:softHyphen/>
      </w:r>
      <w:r>
        <w:rPr>
          <w:rStyle w:val="CharacterStyle8"/>
          <w:rFonts w:ascii="Verdana" w:hAnsi="Verdana" w:cs="Verdana"/>
          <w:spacing w:val="2"/>
          <w:lang w:val="es-ES" w:eastAsia="es-ES"/>
        </w:rPr>
        <w:t>1, para conducir taxi.</w:t>
      </w:r>
    </w:p>
    <w:p w:rsidR="00C9129E" w:rsidRDefault="00C9129E">
      <w:pPr>
        <w:pStyle w:val="Style21"/>
        <w:numPr>
          <w:ilvl w:val="0"/>
          <w:numId w:val="11"/>
        </w:numPr>
        <w:tabs>
          <w:tab w:val="clear" w:pos="288"/>
          <w:tab w:val="num" w:pos="864"/>
        </w:tabs>
        <w:kinsoku w:val="0"/>
        <w:autoSpaceDE/>
        <w:autoSpaceDN/>
        <w:adjustRightInd/>
        <w:spacing w:before="288" w:after="612"/>
        <w:ind w:right="576"/>
        <w:jc w:val="both"/>
        <w:rPr>
          <w:rFonts w:ascii="Verdana" w:hAnsi="Verdana" w:cs="Verdana"/>
          <w:spacing w:val="6"/>
          <w:sz w:val="18"/>
          <w:szCs w:val="18"/>
          <w:lang w:val="es-ES" w:eastAsia="es-ES"/>
        </w:rPr>
      </w:pPr>
      <w:r>
        <w:rPr>
          <w:rFonts w:ascii="Verdana" w:hAnsi="Verdana" w:cs="Verdana"/>
          <w:spacing w:val="3"/>
          <w:sz w:val="18"/>
          <w:szCs w:val="18"/>
          <w:lang w:val="es-ES" w:eastAsia="es-ES"/>
        </w:rPr>
        <w:t xml:space="preserve">Habitualidad en la prestación del servicio público: Se acreditará hasta </w:t>
      </w:r>
      <w:r>
        <w:rPr>
          <w:rFonts w:ascii="Verdana" w:hAnsi="Verdana" w:cs="Verdana"/>
          <w:spacing w:val="8"/>
          <w:sz w:val="18"/>
          <w:szCs w:val="18"/>
          <w:lang w:val="es-ES" w:eastAsia="es-ES"/>
        </w:rPr>
        <w:t xml:space="preserve">un cuarenta por ciento (40%) del total de puntos por evaluar, de la </w:t>
      </w:r>
      <w:r>
        <w:rPr>
          <w:rFonts w:ascii="Verdana" w:hAnsi="Verdana" w:cs="Verdana"/>
          <w:spacing w:val="6"/>
          <w:sz w:val="18"/>
          <w:szCs w:val="18"/>
          <w:lang w:val="es-ES" w:eastAsia="es-ES"/>
        </w:rPr>
        <w:t xml:space="preserve">siguiente manera: cuatro puntos por cada año que aparezca registrado </w:t>
      </w:r>
      <w:r>
        <w:rPr>
          <w:rFonts w:ascii="Verdana" w:hAnsi="Verdana" w:cs="Verdana"/>
          <w:spacing w:val="1"/>
          <w:sz w:val="18"/>
          <w:szCs w:val="18"/>
          <w:lang w:val="es-ES" w:eastAsia="es-ES"/>
        </w:rPr>
        <w:t xml:space="preserve">en la Caja Costarricense de Seguro Social, en calidad de empleador o de </w:t>
      </w:r>
      <w:r>
        <w:rPr>
          <w:rFonts w:ascii="Verdana" w:hAnsi="Verdana" w:cs="Verdana"/>
          <w:spacing w:val="6"/>
          <w:sz w:val="18"/>
          <w:szCs w:val="18"/>
          <w:lang w:val="es-ES" w:eastAsia="es-ES"/>
        </w:rPr>
        <w:t>empleado en el servicio público en la modalidad de taxi, o de cotizante</w:t>
      </w:r>
    </w:p>
    <w:p w:rsidR="00081208" w:rsidRDefault="00081208">
      <w:pPr>
        <w:pStyle w:val="Style21"/>
        <w:kinsoku w:val="0"/>
        <w:autoSpaceDE/>
        <w:autoSpaceDN/>
        <w:adjustRightInd/>
        <w:ind w:left="576" w:right="504"/>
        <w:rPr>
          <w:rFonts w:ascii="Verdana" w:hAnsi="Verdana" w:cs="Verdana"/>
          <w:spacing w:val="19"/>
          <w:sz w:val="18"/>
          <w:szCs w:val="18"/>
          <w:lang w:val="es-ES" w:eastAsia="es-ES"/>
        </w:rPr>
      </w:pPr>
    </w:p>
    <w:p w:rsidR="00B17A12" w:rsidRDefault="00B17A12">
      <w:pPr>
        <w:pStyle w:val="Style21"/>
        <w:kinsoku w:val="0"/>
        <w:autoSpaceDE/>
        <w:autoSpaceDN/>
        <w:adjustRightInd/>
        <w:ind w:left="576" w:right="504"/>
        <w:rPr>
          <w:rFonts w:ascii="Verdana" w:hAnsi="Verdana" w:cs="Verdana"/>
          <w:spacing w:val="19"/>
          <w:sz w:val="18"/>
          <w:szCs w:val="18"/>
          <w:lang w:val="es-ES" w:eastAsia="es-ES"/>
        </w:rPr>
      </w:pPr>
    </w:p>
    <w:p w:rsidR="00081208" w:rsidRDefault="00081208">
      <w:pPr>
        <w:pStyle w:val="Style21"/>
        <w:kinsoku w:val="0"/>
        <w:autoSpaceDE/>
        <w:autoSpaceDN/>
        <w:adjustRightInd/>
        <w:ind w:left="576" w:right="504"/>
        <w:rPr>
          <w:rFonts w:ascii="Verdana" w:hAnsi="Verdana" w:cs="Verdana"/>
          <w:spacing w:val="19"/>
          <w:sz w:val="18"/>
          <w:szCs w:val="18"/>
          <w:lang w:val="es-ES" w:eastAsia="es-ES"/>
        </w:rPr>
      </w:pPr>
    </w:p>
    <w:p w:rsidR="00081208" w:rsidRDefault="00081208">
      <w:pPr>
        <w:pStyle w:val="Style21"/>
        <w:kinsoku w:val="0"/>
        <w:autoSpaceDE/>
        <w:autoSpaceDN/>
        <w:adjustRightInd/>
        <w:ind w:left="576" w:right="504"/>
        <w:rPr>
          <w:rFonts w:ascii="Verdana" w:hAnsi="Verdana" w:cs="Verdana"/>
          <w:spacing w:val="19"/>
          <w:sz w:val="18"/>
          <w:szCs w:val="18"/>
          <w:lang w:val="es-ES" w:eastAsia="es-ES"/>
        </w:rPr>
      </w:pPr>
    </w:p>
    <w:p w:rsidR="00C9129E" w:rsidRDefault="00C9129E" w:rsidP="00035D02">
      <w:pPr>
        <w:pStyle w:val="Style21"/>
        <w:kinsoku w:val="0"/>
        <w:autoSpaceDE/>
        <w:autoSpaceDN/>
        <w:adjustRightInd/>
        <w:ind w:left="576" w:right="504"/>
        <w:jc w:val="both"/>
        <w:rPr>
          <w:rFonts w:ascii="Verdana" w:hAnsi="Verdana" w:cs="Verdana"/>
          <w:spacing w:val="4"/>
          <w:sz w:val="18"/>
          <w:szCs w:val="18"/>
          <w:lang w:val="es-ES" w:eastAsia="es-ES"/>
        </w:rPr>
      </w:pPr>
      <w:proofErr w:type="gramStart"/>
      <w:r>
        <w:rPr>
          <w:rFonts w:ascii="Verdana" w:hAnsi="Verdana" w:cs="Verdana"/>
          <w:spacing w:val="19"/>
          <w:sz w:val="18"/>
          <w:szCs w:val="18"/>
          <w:lang w:val="es-ES" w:eastAsia="es-ES"/>
        </w:rPr>
        <w:lastRenderedPageBreak/>
        <w:t>del</w:t>
      </w:r>
      <w:proofErr w:type="gramEnd"/>
      <w:r>
        <w:rPr>
          <w:rFonts w:ascii="Verdana" w:hAnsi="Verdana" w:cs="Verdana"/>
          <w:spacing w:val="19"/>
          <w:sz w:val="18"/>
          <w:szCs w:val="18"/>
          <w:lang w:val="es-ES" w:eastAsia="es-ES"/>
        </w:rPr>
        <w:t xml:space="preserve"> seguro voluntario. Para lo anterior, se tomarán en cuenta </w:t>
      </w:r>
      <w:r>
        <w:rPr>
          <w:rFonts w:ascii="Verdana" w:hAnsi="Verdana" w:cs="Verdana"/>
          <w:spacing w:val="4"/>
          <w:sz w:val="18"/>
          <w:szCs w:val="18"/>
          <w:lang w:val="es-ES" w:eastAsia="es-ES"/>
        </w:rPr>
        <w:t>únicamente los últimos diez años.</w:t>
      </w:r>
    </w:p>
    <w:p w:rsidR="00C9129E" w:rsidRDefault="00C9129E">
      <w:pPr>
        <w:pStyle w:val="Style16"/>
        <w:numPr>
          <w:ilvl w:val="0"/>
          <w:numId w:val="12"/>
        </w:numPr>
        <w:tabs>
          <w:tab w:val="clear" w:pos="288"/>
          <w:tab w:val="num" w:pos="936"/>
        </w:tabs>
        <w:kinsoku w:val="0"/>
        <w:autoSpaceDE/>
        <w:autoSpaceDN/>
        <w:rPr>
          <w:rStyle w:val="CharacterStyle7"/>
          <w:rFonts w:ascii="Verdana" w:hAnsi="Verdana" w:cs="Verdana"/>
          <w:spacing w:val="4"/>
          <w:sz w:val="18"/>
          <w:szCs w:val="18"/>
          <w:lang w:val="es-ES" w:eastAsia="es-ES"/>
        </w:rPr>
      </w:pPr>
      <w:r>
        <w:rPr>
          <w:rStyle w:val="CharacterStyle7"/>
          <w:rFonts w:ascii="Verdana" w:hAnsi="Verdana" w:cs="Verdana"/>
          <w:spacing w:val="4"/>
          <w:sz w:val="18"/>
          <w:szCs w:val="18"/>
          <w:lang w:val="es-ES" w:eastAsia="es-ES"/>
        </w:rPr>
        <w:t xml:space="preserve">Experiencia en la administración de una unidad de servicio público en </w:t>
      </w:r>
      <w:r>
        <w:rPr>
          <w:rStyle w:val="CharacterStyle7"/>
          <w:rFonts w:ascii="Verdana" w:hAnsi="Verdana" w:cs="Verdana"/>
          <w:spacing w:val="10"/>
          <w:sz w:val="18"/>
          <w:szCs w:val="18"/>
          <w:lang w:val="es-ES" w:eastAsia="es-ES"/>
        </w:rPr>
        <w:t xml:space="preserve">la modalidad de taxi: Se acreditarán hasta diez puntos del total de </w:t>
      </w:r>
      <w:r>
        <w:rPr>
          <w:rStyle w:val="CharacterStyle7"/>
          <w:rFonts w:ascii="Verdana" w:hAnsi="Verdana" w:cs="Verdana"/>
          <w:spacing w:val="7"/>
          <w:sz w:val="18"/>
          <w:szCs w:val="18"/>
          <w:lang w:val="es-ES" w:eastAsia="es-ES"/>
        </w:rPr>
        <w:t xml:space="preserve">puntos por evaluar, un punto por cada año, a quienes presenten una </w:t>
      </w:r>
      <w:r>
        <w:rPr>
          <w:rStyle w:val="CharacterStyle7"/>
          <w:rFonts w:ascii="Verdana" w:hAnsi="Verdana" w:cs="Verdana"/>
          <w:spacing w:val="8"/>
          <w:sz w:val="18"/>
          <w:szCs w:val="18"/>
          <w:lang w:val="es-ES" w:eastAsia="es-ES"/>
        </w:rPr>
        <w:t xml:space="preserve">certificación en la que se indique su inscripción como empresario, de </w:t>
      </w:r>
      <w:r>
        <w:rPr>
          <w:rStyle w:val="CharacterStyle7"/>
          <w:rFonts w:ascii="Verdana" w:hAnsi="Verdana" w:cs="Verdana"/>
          <w:spacing w:val="6"/>
          <w:sz w:val="18"/>
          <w:szCs w:val="18"/>
          <w:lang w:val="es-ES" w:eastAsia="es-ES"/>
        </w:rPr>
        <w:t xml:space="preserve">taxis (concesionarios) debidamente inscritos en las oficinas respectivas </w:t>
      </w:r>
      <w:r>
        <w:rPr>
          <w:rStyle w:val="CharacterStyle7"/>
          <w:rFonts w:ascii="Verdana" w:hAnsi="Verdana" w:cs="Verdana"/>
          <w:spacing w:val="10"/>
          <w:sz w:val="18"/>
          <w:szCs w:val="18"/>
          <w:lang w:val="es-ES" w:eastAsia="es-ES"/>
        </w:rPr>
        <w:t xml:space="preserve">del Ministerio de Obras Públicas y Transportes. Para lo anterior, se </w:t>
      </w:r>
      <w:r>
        <w:rPr>
          <w:rStyle w:val="CharacterStyle7"/>
          <w:rFonts w:ascii="Verdana" w:hAnsi="Verdana" w:cs="Verdana"/>
          <w:spacing w:val="4"/>
          <w:sz w:val="18"/>
          <w:szCs w:val="18"/>
          <w:lang w:val="es-ES" w:eastAsia="es-ES"/>
        </w:rPr>
        <w:t>tomarán en cuenta únicamente los últimos diez años.</w:t>
      </w:r>
    </w:p>
    <w:p w:rsidR="00C9129E" w:rsidRDefault="00C9129E">
      <w:pPr>
        <w:pStyle w:val="Style16"/>
        <w:numPr>
          <w:ilvl w:val="0"/>
          <w:numId w:val="12"/>
        </w:numPr>
        <w:tabs>
          <w:tab w:val="clear" w:pos="288"/>
          <w:tab w:val="num" w:pos="936"/>
        </w:tabs>
        <w:kinsoku w:val="0"/>
        <w:autoSpaceDE/>
        <w:autoSpaceDN/>
        <w:spacing w:before="324"/>
        <w:rPr>
          <w:rStyle w:val="CharacterStyle7"/>
          <w:rFonts w:ascii="Verdana" w:hAnsi="Verdana" w:cs="Verdana"/>
          <w:spacing w:val="4"/>
          <w:sz w:val="18"/>
          <w:szCs w:val="18"/>
          <w:lang w:val="es-ES" w:eastAsia="es-ES"/>
        </w:rPr>
      </w:pPr>
      <w:r>
        <w:rPr>
          <w:rStyle w:val="CharacterStyle7"/>
          <w:rFonts w:ascii="Verdana" w:hAnsi="Verdana" w:cs="Verdana"/>
          <w:spacing w:val="7"/>
          <w:sz w:val="18"/>
          <w:szCs w:val="18"/>
          <w:lang w:val="es-ES" w:eastAsia="es-ES"/>
        </w:rPr>
        <w:t xml:space="preserve">Profesionalismo en la prestación del servicio: Se acreditarán diez </w:t>
      </w:r>
      <w:r>
        <w:rPr>
          <w:rStyle w:val="CharacterStyle7"/>
          <w:rFonts w:ascii="Verdana" w:hAnsi="Verdana" w:cs="Verdana"/>
          <w:spacing w:val="4"/>
          <w:sz w:val="18"/>
          <w:szCs w:val="18"/>
          <w:lang w:val="es-ES" w:eastAsia="es-ES"/>
        </w:rPr>
        <w:t xml:space="preserve">puntos del total de puntos por evaluar, a quienes demuestren, mediante </w:t>
      </w:r>
      <w:r>
        <w:rPr>
          <w:rStyle w:val="CharacterStyle7"/>
          <w:rFonts w:ascii="Verdana" w:hAnsi="Verdana" w:cs="Verdana"/>
          <w:spacing w:val="2"/>
          <w:sz w:val="18"/>
          <w:szCs w:val="18"/>
          <w:lang w:val="es-ES" w:eastAsia="es-ES"/>
        </w:rPr>
        <w:t xml:space="preserve">una certificación del Consejo de Seguridad Vial y otra de la instancia que </w:t>
      </w:r>
      <w:r>
        <w:rPr>
          <w:rStyle w:val="CharacterStyle7"/>
          <w:rFonts w:ascii="Verdana" w:hAnsi="Verdana" w:cs="Verdana"/>
          <w:spacing w:val="14"/>
          <w:sz w:val="18"/>
          <w:szCs w:val="18"/>
          <w:lang w:val="es-ES" w:eastAsia="es-ES"/>
        </w:rPr>
        <w:t xml:space="preserve">reciba denuncias de los usuarios, que no han incurrido en faltas </w:t>
      </w:r>
      <w:r>
        <w:rPr>
          <w:rStyle w:val="CharacterStyle7"/>
          <w:rFonts w:ascii="Verdana" w:hAnsi="Verdana" w:cs="Verdana"/>
          <w:spacing w:val="11"/>
          <w:sz w:val="18"/>
          <w:szCs w:val="18"/>
          <w:lang w:val="es-ES" w:eastAsia="es-ES"/>
        </w:rPr>
        <w:t xml:space="preserve">mientras prestaban el servicio público de taxi. Para lo anterior, se </w:t>
      </w:r>
      <w:r>
        <w:rPr>
          <w:rStyle w:val="CharacterStyle7"/>
          <w:rFonts w:ascii="Verdana" w:hAnsi="Verdana" w:cs="Verdana"/>
          <w:spacing w:val="4"/>
          <w:sz w:val="18"/>
          <w:szCs w:val="18"/>
          <w:lang w:val="es-ES" w:eastAsia="es-ES"/>
        </w:rPr>
        <w:t>tomarán en cuenta únicamente los últimos cinco años.</w:t>
      </w:r>
    </w:p>
    <w:p w:rsidR="00C9129E" w:rsidRDefault="00C9129E">
      <w:pPr>
        <w:pStyle w:val="Style16"/>
        <w:kinsoku w:val="0"/>
        <w:autoSpaceDE/>
        <w:autoSpaceDN/>
        <w:spacing w:before="360"/>
        <w:ind w:firstLine="0"/>
        <w:rPr>
          <w:rStyle w:val="CharacterStyle7"/>
          <w:rFonts w:ascii="Verdana" w:hAnsi="Verdana" w:cs="Verdana"/>
          <w:spacing w:val="4"/>
          <w:sz w:val="18"/>
          <w:szCs w:val="18"/>
          <w:lang w:val="es-ES" w:eastAsia="es-ES"/>
        </w:rPr>
      </w:pPr>
      <w:r>
        <w:rPr>
          <w:rStyle w:val="CharacterStyle7"/>
          <w:rFonts w:ascii="Verdana" w:hAnsi="Verdana" w:cs="Verdana"/>
          <w:sz w:val="18"/>
          <w:szCs w:val="18"/>
          <w:lang w:val="es-ES" w:eastAsia="es-ES"/>
        </w:rPr>
        <w:t xml:space="preserve">Los incisos anteriores se aplicarán sin detrimento de los requisitos que la </w:t>
      </w:r>
      <w:r>
        <w:rPr>
          <w:rStyle w:val="CharacterStyle7"/>
          <w:rFonts w:ascii="Verdana" w:hAnsi="Verdana" w:cs="Verdana"/>
          <w:spacing w:val="5"/>
          <w:sz w:val="18"/>
          <w:szCs w:val="18"/>
          <w:lang w:val="es-ES" w:eastAsia="es-ES"/>
        </w:rPr>
        <w:t xml:space="preserve">presente ley u otras establezcan como obligatorios para la operación de </w:t>
      </w:r>
      <w:r>
        <w:rPr>
          <w:rStyle w:val="CharacterStyle7"/>
          <w:rFonts w:ascii="Verdana" w:hAnsi="Verdana" w:cs="Verdana"/>
          <w:spacing w:val="4"/>
          <w:sz w:val="18"/>
          <w:szCs w:val="18"/>
          <w:lang w:val="es-ES" w:eastAsia="es-ES"/>
        </w:rPr>
        <w:t>un servicio público en la modalidad de taxi."</w:t>
      </w:r>
    </w:p>
    <w:p w:rsidR="00C9129E" w:rsidRDefault="00C9129E">
      <w:pPr>
        <w:pStyle w:val="Style21"/>
        <w:kinsoku w:val="0"/>
        <w:autoSpaceDE/>
        <w:autoSpaceDN/>
        <w:adjustRightInd/>
        <w:spacing w:before="324"/>
        <w:ind w:firstLine="72"/>
        <w:jc w:val="both"/>
        <w:rPr>
          <w:rFonts w:ascii="Verdana" w:hAnsi="Verdana" w:cs="Verdana"/>
          <w:spacing w:val="3"/>
          <w:sz w:val="20"/>
          <w:szCs w:val="20"/>
          <w:lang w:val="es-ES" w:eastAsia="es-ES"/>
        </w:rPr>
      </w:pPr>
      <w:r>
        <w:rPr>
          <w:rFonts w:ascii="Verdana" w:hAnsi="Verdana" w:cs="Verdana"/>
          <w:b/>
          <w:bCs/>
          <w:spacing w:val="9"/>
          <w:w w:val="105"/>
          <w:sz w:val="20"/>
          <w:szCs w:val="20"/>
          <w:lang w:val="es-ES" w:eastAsia="es-ES"/>
        </w:rPr>
        <w:t xml:space="preserve">CASO CONCRETO: </w:t>
      </w:r>
      <w:r>
        <w:rPr>
          <w:rFonts w:ascii="Verdana" w:hAnsi="Verdana" w:cs="Verdana"/>
          <w:spacing w:val="9"/>
          <w:sz w:val="20"/>
          <w:szCs w:val="20"/>
          <w:lang w:val="es-ES" w:eastAsia="es-ES"/>
        </w:rPr>
        <w:t xml:space="preserve">El recurrente participa en el concurso público que </w:t>
      </w:r>
      <w:r>
        <w:rPr>
          <w:rFonts w:ascii="Verdana" w:hAnsi="Verdana" w:cs="Verdana"/>
          <w:spacing w:val="4"/>
          <w:sz w:val="20"/>
          <w:szCs w:val="20"/>
          <w:lang w:val="es-ES" w:eastAsia="es-ES"/>
        </w:rPr>
        <w:t xml:space="preserve">promueve la Administración para el otorgamiento de 1034 concesiones para </w:t>
      </w:r>
      <w:r>
        <w:rPr>
          <w:rFonts w:ascii="Verdana" w:hAnsi="Verdana" w:cs="Verdana"/>
          <w:spacing w:val="8"/>
          <w:sz w:val="20"/>
          <w:szCs w:val="20"/>
          <w:lang w:val="es-ES" w:eastAsia="es-ES"/>
        </w:rPr>
        <w:t xml:space="preserve">el servicio de transporte público modalidad taxi con vehículos adaptados para personas con discapacidad. La Administración modifica la tabla de </w:t>
      </w:r>
      <w:r>
        <w:rPr>
          <w:rFonts w:ascii="Verdana" w:hAnsi="Verdana" w:cs="Verdana"/>
          <w:spacing w:val="3"/>
          <w:sz w:val="20"/>
          <w:szCs w:val="20"/>
          <w:lang w:val="es-ES" w:eastAsia="es-ES"/>
        </w:rPr>
        <w:t xml:space="preserve">evaluación de las ofertas que se presenten al concurso, la cual publica en el </w:t>
      </w:r>
      <w:r>
        <w:rPr>
          <w:rFonts w:ascii="Verdana" w:hAnsi="Verdana" w:cs="Verdana"/>
          <w:spacing w:val="11"/>
          <w:sz w:val="20"/>
          <w:szCs w:val="20"/>
          <w:lang w:val="es-ES" w:eastAsia="es-ES"/>
        </w:rPr>
        <w:t xml:space="preserve">diario oficial La Gaceta, de manera que el recurrente no puede alegar </w:t>
      </w:r>
      <w:r>
        <w:rPr>
          <w:rFonts w:ascii="Verdana" w:hAnsi="Verdana" w:cs="Verdana"/>
          <w:spacing w:val="19"/>
          <w:sz w:val="20"/>
          <w:szCs w:val="20"/>
          <w:lang w:val="es-ES" w:eastAsia="es-ES"/>
        </w:rPr>
        <w:t xml:space="preserve">desconocimiento de dicha modificación. Es evidente que la oferta </w:t>
      </w:r>
      <w:r>
        <w:rPr>
          <w:rFonts w:ascii="Verdana" w:hAnsi="Verdana" w:cs="Verdana"/>
          <w:spacing w:val="1"/>
          <w:sz w:val="20"/>
          <w:szCs w:val="20"/>
          <w:lang w:val="es-ES" w:eastAsia="es-ES"/>
        </w:rPr>
        <w:t xml:space="preserve">presentada por el recurrente no cumple con los requisitos establecidos en el </w:t>
      </w:r>
      <w:r>
        <w:rPr>
          <w:rFonts w:ascii="Verdana" w:hAnsi="Verdana" w:cs="Verdana"/>
          <w:spacing w:val="5"/>
          <w:sz w:val="20"/>
          <w:szCs w:val="20"/>
          <w:lang w:val="es-ES" w:eastAsia="es-ES"/>
        </w:rPr>
        <w:t xml:space="preserve">artículo 33 de la Ley 7969 razón por la cual obtiene una baja calificación, </w:t>
      </w:r>
      <w:r>
        <w:rPr>
          <w:rFonts w:ascii="Verdana" w:hAnsi="Verdana" w:cs="Verdana"/>
          <w:spacing w:val="8"/>
          <w:sz w:val="20"/>
          <w:szCs w:val="20"/>
          <w:lang w:val="es-ES" w:eastAsia="es-ES"/>
        </w:rPr>
        <w:t xml:space="preserve">cuarenta puntos, que no le alcanza para resultar adjudicatario en la base </w:t>
      </w:r>
      <w:r>
        <w:rPr>
          <w:rFonts w:ascii="Verdana" w:hAnsi="Verdana" w:cs="Verdana"/>
          <w:spacing w:val="3"/>
          <w:sz w:val="20"/>
          <w:szCs w:val="20"/>
          <w:lang w:val="es-ES" w:eastAsia="es-ES"/>
        </w:rPr>
        <w:t xml:space="preserve">de operación escogida. La Administración evaluó las ofertas recibidas en el </w:t>
      </w:r>
      <w:r>
        <w:rPr>
          <w:rFonts w:ascii="Verdana" w:hAnsi="Verdana" w:cs="Verdana"/>
          <w:spacing w:val="4"/>
          <w:sz w:val="20"/>
          <w:szCs w:val="20"/>
          <w:lang w:val="es-ES" w:eastAsia="es-ES"/>
        </w:rPr>
        <w:t xml:space="preserve">concurso, conforme los parámetros preestablecidos. La tabla de evaluación </w:t>
      </w:r>
      <w:r>
        <w:rPr>
          <w:rFonts w:ascii="Verdana" w:hAnsi="Verdana" w:cs="Verdana"/>
          <w:spacing w:val="10"/>
          <w:sz w:val="20"/>
          <w:szCs w:val="20"/>
          <w:lang w:val="es-ES" w:eastAsia="es-ES"/>
        </w:rPr>
        <w:t xml:space="preserve">para el concurso público fue modificada sustancialmente en el Decreto </w:t>
      </w:r>
      <w:r>
        <w:rPr>
          <w:rFonts w:ascii="Verdana" w:hAnsi="Verdana" w:cs="Verdana"/>
          <w:spacing w:val="2"/>
          <w:sz w:val="20"/>
          <w:szCs w:val="20"/>
          <w:lang w:val="es-ES" w:eastAsia="es-ES"/>
        </w:rPr>
        <w:t xml:space="preserve">Ejecutivo 35985-MOPT, tal es el caso de la certificación emitida por la Caja Costarricense del Seguro Social, la cual para ser considerada en el puntaje </w:t>
      </w:r>
      <w:r>
        <w:rPr>
          <w:rFonts w:ascii="Verdana" w:hAnsi="Verdana" w:cs="Verdana"/>
          <w:spacing w:val="4"/>
          <w:sz w:val="20"/>
          <w:szCs w:val="20"/>
          <w:lang w:val="es-ES" w:eastAsia="es-ES"/>
        </w:rPr>
        <w:t xml:space="preserve">requería que la certificación estableciera el tiempo laborado en el servicio </w:t>
      </w:r>
      <w:r>
        <w:rPr>
          <w:rFonts w:ascii="Verdana" w:hAnsi="Verdana" w:cs="Verdana"/>
          <w:spacing w:val="13"/>
          <w:sz w:val="20"/>
          <w:szCs w:val="20"/>
          <w:lang w:val="es-ES" w:eastAsia="es-ES"/>
        </w:rPr>
        <w:t xml:space="preserve">público en la modalidad de taxi como empleador o empleado o en su </w:t>
      </w:r>
      <w:r>
        <w:rPr>
          <w:rFonts w:ascii="Verdana" w:hAnsi="Verdana" w:cs="Verdana"/>
          <w:spacing w:val="1"/>
          <w:sz w:val="20"/>
          <w:szCs w:val="20"/>
          <w:lang w:val="es-ES" w:eastAsia="es-ES"/>
        </w:rPr>
        <w:t xml:space="preserve">defecto como cotizante del seguro voluntario, condiciones que no cumple el </w:t>
      </w:r>
      <w:r>
        <w:rPr>
          <w:rFonts w:ascii="Verdana" w:hAnsi="Verdana" w:cs="Verdana"/>
          <w:spacing w:val="9"/>
          <w:sz w:val="20"/>
          <w:szCs w:val="20"/>
          <w:lang w:val="es-ES" w:eastAsia="es-ES"/>
        </w:rPr>
        <w:t xml:space="preserve">recurrente pues en certificación que consta en el expediente a folio 37 </w:t>
      </w:r>
      <w:r>
        <w:rPr>
          <w:rFonts w:ascii="Verdana" w:hAnsi="Verdana" w:cs="Verdana"/>
          <w:spacing w:val="7"/>
          <w:sz w:val="20"/>
          <w:szCs w:val="20"/>
          <w:lang w:val="es-ES" w:eastAsia="es-ES"/>
        </w:rPr>
        <w:t xml:space="preserve">vuelto, demuestra que el recurrente no aparece reportado como patrono, por otro lado del expediente no se extrae que el recurrente contara con </w:t>
      </w:r>
      <w:r>
        <w:rPr>
          <w:rFonts w:ascii="Verdana" w:hAnsi="Verdana" w:cs="Verdana"/>
          <w:spacing w:val="4"/>
          <w:sz w:val="20"/>
          <w:szCs w:val="20"/>
          <w:lang w:val="es-ES" w:eastAsia="es-ES"/>
        </w:rPr>
        <w:t xml:space="preserve">seguro voluntario o cotizaciones como empleado del servicio de taxi, por lo </w:t>
      </w:r>
      <w:r>
        <w:rPr>
          <w:rFonts w:ascii="Verdana" w:hAnsi="Verdana" w:cs="Verdana"/>
          <w:spacing w:val="3"/>
          <w:sz w:val="20"/>
          <w:szCs w:val="20"/>
          <w:lang w:val="es-ES" w:eastAsia="es-ES"/>
        </w:rPr>
        <w:t>cual la calificación obtenida fue la correcta.</w:t>
      </w:r>
    </w:p>
    <w:p w:rsidR="00C9129E" w:rsidRDefault="00C9129E">
      <w:pPr>
        <w:pStyle w:val="Style21"/>
        <w:kinsoku w:val="0"/>
        <w:autoSpaceDE/>
        <w:autoSpaceDN/>
        <w:adjustRightInd/>
        <w:spacing w:before="468" w:after="900"/>
        <w:jc w:val="both"/>
        <w:rPr>
          <w:rFonts w:ascii="Verdana" w:hAnsi="Verdana" w:cs="Verdana"/>
          <w:sz w:val="20"/>
          <w:szCs w:val="20"/>
          <w:lang w:val="es-ES" w:eastAsia="es-ES"/>
        </w:rPr>
      </w:pPr>
      <w:r>
        <w:rPr>
          <w:rFonts w:ascii="Verdana" w:hAnsi="Verdana" w:cs="Verdana"/>
          <w:spacing w:val="7"/>
          <w:sz w:val="20"/>
          <w:szCs w:val="20"/>
          <w:lang w:val="es-ES" w:eastAsia="es-ES"/>
        </w:rPr>
        <w:t xml:space="preserve">Cuando se analizan las piezas del expediente, se puede apreciar que los </w:t>
      </w:r>
      <w:r>
        <w:rPr>
          <w:rFonts w:ascii="Verdana" w:hAnsi="Verdana" w:cs="Verdana"/>
          <w:spacing w:val="3"/>
          <w:sz w:val="20"/>
          <w:szCs w:val="20"/>
          <w:lang w:val="es-ES" w:eastAsia="es-ES"/>
        </w:rPr>
        <w:t xml:space="preserve">cuarenta puntos otorgados, corresponden a los once años de contar con la </w:t>
      </w:r>
      <w:r>
        <w:rPr>
          <w:rFonts w:ascii="Verdana" w:hAnsi="Verdana" w:cs="Verdana"/>
          <w:spacing w:val="5"/>
          <w:sz w:val="20"/>
          <w:szCs w:val="20"/>
          <w:lang w:val="es-ES" w:eastAsia="es-ES"/>
        </w:rPr>
        <w:t xml:space="preserve">Licencia C-1 que tiene el recurrente, no obstante los otros 40 puntos a los </w:t>
      </w:r>
      <w:r>
        <w:rPr>
          <w:rFonts w:ascii="Verdana" w:hAnsi="Verdana" w:cs="Verdana"/>
          <w:spacing w:val="4"/>
          <w:sz w:val="20"/>
          <w:szCs w:val="20"/>
          <w:lang w:val="es-ES" w:eastAsia="es-ES"/>
        </w:rPr>
        <w:t xml:space="preserve">que podía optar corresponden a la cotización que debía tener ante la Caja </w:t>
      </w:r>
      <w:r>
        <w:rPr>
          <w:rFonts w:ascii="Verdana" w:hAnsi="Verdana" w:cs="Verdana"/>
          <w:spacing w:val="6"/>
          <w:sz w:val="20"/>
          <w:szCs w:val="20"/>
          <w:lang w:val="es-ES" w:eastAsia="es-ES"/>
        </w:rPr>
        <w:t xml:space="preserve">Costarricense del Seguro social descrita en líneas supra y la cual como se </w:t>
      </w:r>
      <w:r>
        <w:rPr>
          <w:rFonts w:ascii="Verdana" w:hAnsi="Verdana" w:cs="Verdana"/>
          <w:sz w:val="20"/>
          <w:szCs w:val="20"/>
          <w:lang w:val="es-ES" w:eastAsia="es-ES"/>
        </w:rPr>
        <w:t>dijo no cumple.</w:t>
      </w:r>
    </w:p>
    <w:p w:rsidR="00C9129E" w:rsidRDefault="00C9129E">
      <w:pPr>
        <w:pStyle w:val="Style13"/>
        <w:kinsoku w:val="0"/>
        <w:autoSpaceDE/>
        <w:autoSpaceDN/>
        <w:ind w:right="0" w:firstLine="0"/>
        <w:rPr>
          <w:rStyle w:val="CharacterStyle7"/>
          <w:rFonts w:ascii="Verdana" w:hAnsi="Verdana" w:cs="Verdana"/>
          <w:spacing w:val="7"/>
          <w:lang w:val="es-ES" w:eastAsia="es-ES"/>
        </w:rPr>
      </w:pPr>
    </w:p>
    <w:p w:rsidR="00B17A12" w:rsidRDefault="00B17A12">
      <w:pPr>
        <w:pStyle w:val="Style13"/>
        <w:kinsoku w:val="0"/>
        <w:autoSpaceDE/>
        <w:autoSpaceDN/>
        <w:ind w:right="0" w:firstLine="0"/>
        <w:rPr>
          <w:rStyle w:val="CharacterStyle7"/>
          <w:rFonts w:ascii="Verdana" w:hAnsi="Verdana" w:cs="Verdana"/>
          <w:spacing w:val="7"/>
          <w:lang w:val="es-ES" w:eastAsia="es-ES"/>
        </w:rPr>
      </w:pPr>
    </w:p>
    <w:p w:rsidR="00C9129E" w:rsidRDefault="00C9129E">
      <w:pPr>
        <w:pStyle w:val="Style13"/>
        <w:kinsoku w:val="0"/>
        <w:autoSpaceDE/>
        <w:autoSpaceDN/>
        <w:ind w:right="0" w:firstLine="0"/>
        <w:rPr>
          <w:rStyle w:val="CharacterStyle7"/>
          <w:rFonts w:ascii="Verdana" w:hAnsi="Verdana" w:cs="Verdana"/>
          <w:spacing w:val="7"/>
          <w:lang w:val="es-ES" w:eastAsia="es-ES"/>
        </w:rPr>
      </w:pPr>
    </w:p>
    <w:p w:rsidR="00C9129E" w:rsidRDefault="00C9129E">
      <w:pPr>
        <w:pStyle w:val="Style13"/>
        <w:kinsoku w:val="0"/>
        <w:autoSpaceDE/>
        <w:autoSpaceDN/>
        <w:ind w:right="0" w:firstLine="0"/>
        <w:rPr>
          <w:rStyle w:val="CharacterStyle7"/>
          <w:rFonts w:ascii="Verdana" w:hAnsi="Verdana" w:cs="Verdana"/>
          <w:spacing w:val="2"/>
          <w:lang w:val="es-ES" w:eastAsia="es-ES"/>
        </w:rPr>
      </w:pPr>
      <w:r>
        <w:rPr>
          <w:rStyle w:val="CharacterStyle7"/>
          <w:rFonts w:ascii="Verdana" w:hAnsi="Verdana" w:cs="Verdana"/>
          <w:spacing w:val="7"/>
          <w:lang w:val="es-ES" w:eastAsia="es-ES"/>
        </w:rPr>
        <w:lastRenderedPageBreak/>
        <w:t xml:space="preserve">Respecto a los otros rubros no evaluados, según el dicho del recurrente, </w:t>
      </w:r>
      <w:r>
        <w:rPr>
          <w:rStyle w:val="CharacterStyle7"/>
          <w:rFonts w:ascii="Verdana" w:hAnsi="Verdana" w:cs="Verdana"/>
          <w:spacing w:val="3"/>
          <w:lang w:val="es-ES" w:eastAsia="es-ES"/>
        </w:rPr>
        <w:t xml:space="preserve">como lo son el código de Conductor y el Profesionalismo, debe indicarse que </w:t>
      </w:r>
      <w:r>
        <w:rPr>
          <w:rStyle w:val="CharacterStyle7"/>
          <w:rFonts w:ascii="Verdana" w:hAnsi="Verdana" w:cs="Verdana"/>
          <w:spacing w:val="5"/>
          <w:lang w:val="es-ES" w:eastAsia="es-ES"/>
        </w:rPr>
        <w:t xml:space="preserve">tal como se indicó líneas atrás, la forma de evaluación de las ofertas, fue </w:t>
      </w:r>
      <w:r>
        <w:rPr>
          <w:rStyle w:val="CharacterStyle7"/>
          <w:rFonts w:ascii="Verdana" w:hAnsi="Verdana" w:cs="Verdana"/>
          <w:spacing w:val="6"/>
          <w:lang w:val="es-ES" w:eastAsia="es-ES"/>
        </w:rPr>
        <w:t xml:space="preserve">sustancialmente modificada, debiendo estarse a lo dispuesto en el artículo </w:t>
      </w:r>
      <w:r>
        <w:rPr>
          <w:rStyle w:val="CharacterStyle7"/>
          <w:rFonts w:ascii="Verdana" w:hAnsi="Verdana" w:cs="Verdana"/>
          <w:spacing w:val="12"/>
          <w:lang w:val="es-ES" w:eastAsia="es-ES"/>
        </w:rPr>
        <w:t xml:space="preserve">33 de la Ley 7969, por lo que no es procedente lo manifestado por el </w:t>
      </w:r>
      <w:r>
        <w:rPr>
          <w:rStyle w:val="CharacterStyle7"/>
          <w:rFonts w:ascii="Verdana" w:hAnsi="Verdana" w:cs="Verdana"/>
          <w:spacing w:val="2"/>
          <w:lang w:val="es-ES" w:eastAsia="es-ES"/>
        </w:rPr>
        <w:t>recurrente en tal sentido.</w:t>
      </w:r>
    </w:p>
    <w:p w:rsidR="00C9129E" w:rsidRDefault="00C9129E">
      <w:pPr>
        <w:pStyle w:val="Style13"/>
        <w:kinsoku w:val="0"/>
        <w:autoSpaceDE/>
        <w:autoSpaceDN/>
        <w:spacing w:before="324"/>
        <w:ind w:right="0" w:firstLine="0"/>
        <w:rPr>
          <w:rStyle w:val="CharacterStyle7"/>
          <w:rFonts w:ascii="Verdana" w:hAnsi="Verdana" w:cs="Verdana"/>
          <w:spacing w:val="4"/>
          <w:lang w:val="es-ES" w:eastAsia="es-ES"/>
        </w:rPr>
      </w:pPr>
      <w:r>
        <w:rPr>
          <w:rStyle w:val="CharacterStyle7"/>
          <w:rFonts w:ascii="Verdana" w:hAnsi="Verdana" w:cs="Verdana"/>
          <w:spacing w:val="6"/>
          <w:lang w:val="es-ES" w:eastAsia="es-ES"/>
        </w:rPr>
        <w:t xml:space="preserve">Por lo dicho la evaluación efectuada a la oferta del recurrente fue conforme </w:t>
      </w:r>
      <w:r>
        <w:rPr>
          <w:rStyle w:val="CharacterStyle7"/>
          <w:rFonts w:ascii="Verdana" w:hAnsi="Verdana" w:cs="Verdana"/>
          <w:spacing w:val="12"/>
          <w:lang w:val="es-ES" w:eastAsia="es-ES"/>
        </w:rPr>
        <w:t xml:space="preserve">a los parámetros establecidos en el artículo 33 de la Ley 7969, así la </w:t>
      </w:r>
      <w:r>
        <w:rPr>
          <w:rStyle w:val="CharacterStyle7"/>
          <w:rFonts w:ascii="Verdana" w:hAnsi="Verdana" w:cs="Verdana"/>
          <w:lang w:val="es-ES" w:eastAsia="es-ES"/>
        </w:rPr>
        <w:t xml:space="preserve">calificación dada a su oferta se da porque no logró cumplir con los requisitos </w:t>
      </w:r>
      <w:r>
        <w:rPr>
          <w:rStyle w:val="CharacterStyle7"/>
          <w:rFonts w:ascii="Verdana" w:hAnsi="Verdana" w:cs="Verdana"/>
          <w:spacing w:val="8"/>
          <w:lang w:val="es-ES" w:eastAsia="es-ES"/>
        </w:rPr>
        <w:t xml:space="preserve">dispuestos en el cartel de la licitación por lo que se declara sin lugar el </w:t>
      </w:r>
      <w:r>
        <w:rPr>
          <w:rStyle w:val="CharacterStyle7"/>
          <w:rFonts w:ascii="Verdana" w:hAnsi="Verdana" w:cs="Verdana"/>
          <w:spacing w:val="27"/>
          <w:lang w:val="es-ES" w:eastAsia="es-ES"/>
        </w:rPr>
        <w:t xml:space="preserve">Recurso de Apelación planteado por cuanto la actuación de la </w:t>
      </w:r>
      <w:r>
        <w:rPr>
          <w:rStyle w:val="CharacterStyle7"/>
          <w:rFonts w:ascii="Verdana" w:hAnsi="Verdana" w:cs="Verdana"/>
          <w:spacing w:val="4"/>
          <w:lang w:val="es-ES" w:eastAsia="es-ES"/>
        </w:rPr>
        <w:t>Administración se encuentra ajustada a derecho.</w:t>
      </w:r>
    </w:p>
    <w:p w:rsidR="00C9129E" w:rsidRDefault="00C9129E">
      <w:pPr>
        <w:pStyle w:val="Style21"/>
        <w:kinsoku w:val="0"/>
        <w:autoSpaceDE/>
        <w:autoSpaceDN/>
        <w:adjustRightInd/>
        <w:spacing w:before="360" w:line="192" w:lineRule="auto"/>
        <w:jc w:val="center"/>
        <w:rPr>
          <w:rFonts w:ascii="Verdana" w:hAnsi="Verdana" w:cs="Verdana"/>
          <w:b/>
          <w:bCs/>
          <w:sz w:val="20"/>
          <w:szCs w:val="20"/>
          <w:lang w:val="es-ES" w:eastAsia="es-ES"/>
        </w:rPr>
      </w:pPr>
      <w:r>
        <w:rPr>
          <w:rFonts w:ascii="Verdana" w:hAnsi="Verdana" w:cs="Verdana"/>
          <w:b/>
          <w:bCs/>
          <w:sz w:val="20"/>
          <w:szCs w:val="20"/>
          <w:lang w:val="es-ES" w:eastAsia="es-ES"/>
        </w:rPr>
        <w:t>POR TANTO</w:t>
      </w:r>
    </w:p>
    <w:p w:rsidR="00C9129E" w:rsidRDefault="00C9129E">
      <w:pPr>
        <w:pStyle w:val="Style13"/>
        <w:numPr>
          <w:ilvl w:val="0"/>
          <w:numId w:val="13"/>
        </w:numPr>
        <w:tabs>
          <w:tab w:val="clear" w:pos="432"/>
          <w:tab w:val="num" w:pos="504"/>
        </w:tabs>
        <w:kinsoku w:val="0"/>
        <w:autoSpaceDE/>
        <w:autoSpaceDN/>
        <w:spacing w:before="288"/>
        <w:ind w:right="0"/>
        <w:rPr>
          <w:rStyle w:val="CharacterStyle7"/>
          <w:rFonts w:ascii="Verdana" w:hAnsi="Verdana" w:cs="Verdana"/>
          <w:spacing w:val="-10"/>
          <w:lang w:val="es-ES" w:eastAsia="es-ES"/>
        </w:rPr>
      </w:pPr>
      <w:r>
        <w:rPr>
          <w:rStyle w:val="CharacterStyle7"/>
          <w:rFonts w:ascii="Verdana" w:hAnsi="Verdana" w:cs="Verdana"/>
          <w:lang w:val="es-ES" w:eastAsia="es-ES"/>
        </w:rPr>
        <w:t xml:space="preserve">Se declara sin lugar el </w:t>
      </w:r>
      <w:r>
        <w:rPr>
          <w:rStyle w:val="CharacterStyle7"/>
          <w:rFonts w:ascii="Verdana" w:hAnsi="Verdana" w:cs="Verdana"/>
          <w:b/>
          <w:bCs/>
          <w:lang w:val="es-ES" w:eastAsia="es-ES"/>
        </w:rPr>
        <w:t xml:space="preserve">Recurso de Apelación, </w:t>
      </w:r>
      <w:r>
        <w:rPr>
          <w:rStyle w:val="CharacterStyle7"/>
          <w:rFonts w:ascii="Verdana" w:hAnsi="Verdana" w:cs="Verdana"/>
          <w:lang w:val="es-ES" w:eastAsia="es-ES"/>
        </w:rPr>
        <w:t xml:space="preserve">interpuesto por el señor </w:t>
      </w:r>
      <w:r>
        <w:rPr>
          <w:rStyle w:val="CharacterStyle7"/>
          <w:rFonts w:ascii="Verdana" w:hAnsi="Verdana" w:cs="Verdana"/>
          <w:b/>
          <w:bCs/>
          <w:spacing w:val="6"/>
          <w:w w:val="105"/>
          <w:sz w:val="17"/>
          <w:szCs w:val="17"/>
          <w:lang w:val="es-ES" w:eastAsia="es-ES"/>
        </w:rPr>
        <w:t>D</w:t>
      </w:r>
      <w:r w:rsidR="00B17A12">
        <w:rPr>
          <w:rStyle w:val="CharacterStyle7"/>
          <w:rFonts w:ascii="Verdana" w:hAnsi="Verdana" w:cs="Verdana"/>
          <w:b/>
          <w:bCs/>
          <w:spacing w:val="6"/>
          <w:w w:val="105"/>
          <w:sz w:val="17"/>
          <w:szCs w:val="17"/>
          <w:lang w:val="es-ES" w:eastAsia="es-ES"/>
        </w:rPr>
        <w:t>.</w:t>
      </w:r>
      <w:r>
        <w:rPr>
          <w:rStyle w:val="CharacterStyle7"/>
          <w:rFonts w:ascii="Verdana" w:hAnsi="Verdana" w:cs="Verdana"/>
          <w:b/>
          <w:bCs/>
          <w:spacing w:val="6"/>
          <w:w w:val="105"/>
          <w:sz w:val="17"/>
          <w:szCs w:val="17"/>
          <w:lang w:val="es-ES" w:eastAsia="es-ES"/>
        </w:rPr>
        <w:t>A</w:t>
      </w:r>
      <w:r w:rsidR="00B17A12">
        <w:rPr>
          <w:rStyle w:val="CharacterStyle7"/>
          <w:rFonts w:ascii="Verdana" w:hAnsi="Verdana" w:cs="Verdana"/>
          <w:b/>
          <w:bCs/>
          <w:spacing w:val="6"/>
          <w:w w:val="105"/>
          <w:sz w:val="17"/>
          <w:szCs w:val="17"/>
          <w:lang w:val="es-ES" w:eastAsia="es-ES"/>
        </w:rPr>
        <w:t>.</w:t>
      </w:r>
      <w:r>
        <w:rPr>
          <w:rStyle w:val="CharacterStyle7"/>
          <w:rFonts w:ascii="Verdana" w:hAnsi="Verdana" w:cs="Verdana"/>
          <w:b/>
          <w:bCs/>
          <w:spacing w:val="6"/>
          <w:w w:val="105"/>
          <w:sz w:val="17"/>
          <w:szCs w:val="17"/>
          <w:lang w:val="es-ES" w:eastAsia="es-ES"/>
        </w:rPr>
        <w:t>S</w:t>
      </w:r>
      <w:r w:rsidR="00B17A12">
        <w:rPr>
          <w:rStyle w:val="CharacterStyle7"/>
          <w:rFonts w:ascii="Verdana" w:hAnsi="Verdana" w:cs="Verdana"/>
          <w:b/>
          <w:bCs/>
          <w:spacing w:val="6"/>
          <w:w w:val="105"/>
          <w:sz w:val="17"/>
          <w:szCs w:val="17"/>
          <w:lang w:val="es-ES" w:eastAsia="es-ES"/>
        </w:rPr>
        <w:t>.</w:t>
      </w:r>
      <w:r>
        <w:rPr>
          <w:rStyle w:val="CharacterStyle7"/>
          <w:rFonts w:ascii="Verdana" w:hAnsi="Verdana" w:cs="Verdana"/>
          <w:b/>
          <w:bCs/>
          <w:spacing w:val="6"/>
          <w:w w:val="105"/>
          <w:sz w:val="17"/>
          <w:szCs w:val="17"/>
          <w:lang w:val="es-ES" w:eastAsia="es-ES"/>
        </w:rPr>
        <w:t>V</w:t>
      </w:r>
      <w:r w:rsidR="00B17A12">
        <w:rPr>
          <w:rStyle w:val="CharacterStyle7"/>
          <w:rFonts w:ascii="Verdana" w:hAnsi="Verdana" w:cs="Verdana"/>
          <w:b/>
          <w:bCs/>
          <w:spacing w:val="6"/>
          <w:w w:val="105"/>
          <w:sz w:val="17"/>
          <w:szCs w:val="17"/>
          <w:lang w:val="es-ES" w:eastAsia="es-ES"/>
        </w:rPr>
        <w:t>.</w:t>
      </w:r>
      <w:r>
        <w:rPr>
          <w:rStyle w:val="CharacterStyle7"/>
          <w:rFonts w:ascii="Verdana" w:hAnsi="Verdana" w:cs="Verdana"/>
          <w:b/>
          <w:bCs/>
          <w:spacing w:val="6"/>
          <w:w w:val="105"/>
          <w:sz w:val="17"/>
          <w:szCs w:val="17"/>
          <w:lang w:val="es-ES" w:eastAsia="es-ES"/>
        </w:rPr>
        <w:t xml:space="preserve">, </w:t>
      </w:r>
      <w:r>
        <w:rPr>
          <w:rStyle w:val="CharacterStyle7"/>
          <w:rFonts w:ascii="Verdana" w:hAnsi="Verdana" w:cs="Verdana"/>
          <w:spacing w:val="6"/>
          <w:lang w:val="es-ES" w:eastAsia="es-ES"/>
        </w:rPr>
        <w:t xml:space="preserve">cédula de identidad </w:t>
      </w:r>
      <w:proofErr w:type="gramStart"/>
      <w:r>
        <w:rPr>
          <w:rStyle w:val="CharacterStyle7"/>
          <w:rFonts w:ascii="Verdana" w:hAnsi="Verdana" w:cs="Verdana"/>
          <w:spacing w:val="6"/>
          <w:lang w:val="es-ES" w:eastAsia="es-ES"/>
        </w:rPr>
        <w:t xml:space="preserve">número </w:t>
      </w:r>
      <w:r w:rsidR="00B17A12">
        <w:rPr>
          <w:rStyle w:val="CharacterStyle7"/>
          <w:rFonts w:ascii="Verdana" w:hAnsi="Verdana" w:cs="Verdana"/>
          <w:spacing w:val="6"/>
          <w:lang w:val="es-ES" w:eastAsia="es-ES"/>
        </w:rPr>
        <w:t>…</w:t>
      </w:r>
      <w:proofErr w:type="gramEnd"/>
      <w:r>
        <w:rPr>
          <w:rStyle w:val="CharacterStyle7"/>
          <w:rFonts w:ascii="Verdana" w:hAnsi="Verdana" w:cs="Verdana"/>
          <w:spacing w:val="5"/>
          <w:lang w:val="es-ES" w:eastAsia="es-ES"/>
        </w:rPr>
        <w:t xml:space="preserve">, en su condición de oferente del concurso público, para la adjudicación </w:t>
      </w:r>
      <w:r>
        <w:rPr>
          <w:rStyle w:val="CharacterStyle7"/>
          <w:rFonts w:ascii="Verdana" w:hAnsi="Verdana" w:cs="Verdana"/>
          <w:spacing w:val="18"/>
          <w:lang w:val="es-ES" w:eastAsia="es-ES"/>
        </w:rPr>
        <w:t xml:space="preserve">de 1034 placas de Taxi de vehículos adaptados para personas con </w:t>
      </w:r>
      <w:r>
        <w:rPr>
          <w:rStyle w:val="CharacterStyle7"/>
          <w:rFonts w:ascii="Verdana" w:hAnsi="Verdana" w:cs="Verdana"/>
          <w:spacing w:val="13"/>
          <w:lang w:val="es-ES" w:eastAsia="es-ES"/>
        </w:rPr>
        <w:t xml:space="preserve">discapacidad, contra el </w:t>
      </w:r>
      <w:r>
        <w:rPr>
          <w:rStyle w:val="CharacterStyle7"/>
          <w:rFonts w:ascii="Verdana" w:hAnsi="Verdana" w:cs="Verdana"/>
          <w:b/>
          <w:bCs/>
          <w:spacing w:val="13"/>
          <w:lang w:val="es-ES" w:eastAsia="es-ES"/>
        </w:rPr>
        <w:t>Artículo 3.3 de la Sesión Ordinaria N. 37</w:t>
      </w:r>
      <w:r>
        <w:rPr>
          <w:rStyle w:val="CharacterStyle7"/>
          <w:rFonts w:ascii="Verdana" w:hAnsi="Verdana" w:cs="Verdana"/>
          <w:b/>
          <w:bCs/>
          <w:spacing w:val="13"/>
          <w:lang w:val="es-ES" w:eastAsia="es-ES"/>
        </w:rPr>
        <w:softHyphen/>
      </w:r>
      <w:r>
        <w:rPr>
          <w:rStyle w:val="CharacterStyle7"/>
          <w:rFonts w:ascii="Verdana" w:hAnsi="Verdana" w:cs="Verdana"/>
          <w:b/>
          <w:bCs/>
          <w:spacing w:val="-7"/>
          <w:lang w:val="es-ES" w:eastAsia="es-ES"/>
        </w:rPr>
        <w:t xml:space="preserve">2011 </w:t>
      </w:r>
      <w:r>
        <w:rPr>
          <w:rStyle w:val="CharacterStyle7"/>
          <w:rFonts w:ascii="Verdana" w:hAnsi="Verdana" w:cs="Verdana"/>
          <w:spacing w:val="-7"/>
          <w:lang w:val="es-ES" w:eastAsia="es-ES"/>
        </w:rPr>
        <w:t xml:space="preserve">de 26 de mayo de 2011, dictado por la JUNTA DIRECTIVA DEL CONSEJO DE </w:t>
      </w:r>
      <w:r>
        <w:rPr>
          <w:rStyle w:val="CharacterStyle7"/>
          <w:rFonts w:ascii="Verdana" w:hAnsi="Verdana" w:cs="Verdana"/>
          <w:spacing w:val="-10"/>
          <w:lang w:val="es-ES" w:eastAsia="es-ES"/>
        </w:rPr>
        <w:t>TRANSPORTE PÚBLICO.</w:t>
      </w:r>
    </w:p>
    <w:p w:rsidR="00C9129E" w:rsidRDefault="00C9129E">
      <w:pPr>
        <w:pStyle w:val="Style21"/>
        <w:numPr>
          <w:ilvl w:val="0"/>
          <w:numId w:val="14"/>
        </w:numPr>
        <w:tabs>
          <w:tab w:val="clear" w:pos="576"/>
          <w:tab w:val="num" w:pos="648"/>
        </w:tabs>
        <w:kinsoku w:val="0"/>
        <w:autoSpaceDE/>
        <w:autoSpaceDN/>
        <w:adjustRightInd/>
        <w:spacing w:before="288" w:after="108"/>
        <w:jc w:val="both"/>
        <w:rPr>
          <w:rFonts w:ascii="Verdana" w:hAnsi="Verdana" w:cs="Verdana"/>
          <w:b/>
          <w:bCs/>
          <w:sz w:val="20"/>
          <w:szCs w:val="20"/>
          <w:lang w:val="es-ES" w:eastAsia="es-ES"/>
        </w:rPr>
      </w:pPr>
      <w:r>
        <w:rPr>
          <w:rFonts w:ascii="Verdana" w:hAnsi="Verdana" w:cs="Verdana"/>
          <w:spacing w:val="1"/>
          <w:sz w:val="20"/>
          <w:szCs w:val="20"/>
          <w:lang w:val="es-ES" w:eastAsia="es-ES"/>
        </w:rPr>
        <w:t xml:space="preserve">De conformidad con el artículo 22, inciso c), de la citada Ley 7969, la </w:t>
      </w:r>
      <w:r>
        <w:rPr>
          <w:rFonts w:ascii="Verdana" w:hAnsi="Verdana" w:cs="Verdana"/>
          <w:spacing w:val="12"/>
          <w:sz w:val="20"/>
          <w:szCs w:val="20"/>
          <w:lang w:val="es-ES" w:eastAsia="es-ES"/>
        </w:rPr>
        <w:t xml:space="preserve">presente resolución no tiene ulterior recurso por lo que, se </w:t>
      </w:r>
      <w:r>
        <w:rPr>
          <w:rFonts w:ascii="Verdana" w:hAnsi="Verdana" w:cs="Verdana"/>
          <w:i/>
          <w:iCs/>
          <w:spacing w:val="12"/>
          <w:w w:val="105"/>
          <w:sz w:val="20"/>
          <w:szCs w:val="20"/>
          <w:lang w:val="es-ES" w:eastAsia="es-ES"/>
        </w:rPr>
        <w:t xml:space="preserve">tiene por </w:t>
      </w:r>
      <w:r>
        <w:rPr>
          <w:rFonts w:ascii="Verdana" w:hAnsi="Verdana" w:cs="Verdana"/>
          <w:i/>
          <w:iCs/>
          <w:w w:val="105"/>
          <w:sz w:val="20"/>
          <w:szCs w:val="20"/>
          <w:lang w:val="es-ES" w:eastAsia="es-ES"/>
        </w:rPr>
        <w:t xml:space="preserve">agotada la vía administrativa. </w:t>
      </w:r>
      <w:r>
        <w:rPr>
          <w:rFonts w:ascii="Verdana" w:hAnsi="Verdana" w:cs="Verdana"/>
          <w:b/>
          <w:bCs/>
          <w:sz w:val="20"/>
          <w:szCs w:val="20"/>
          <w:lang w:val="es-ES" w:eastAsia="es-ES"/>
        </w:rPr>
        <w:t>NOTIFIQUESE.</w:t>
      </w:r>
    </w:p>
    <w:p w:rsidR="00740050" w:rsidRDefault="00740050" w:rsidP="00740050">
      <w:pPr>
        <w:pStyle w:val="Style11"/>
        <w:kinsoku w:val="0"/>
        <w:autoSpaceDE/>
        <w:spacing w:line="192" w:lineRule="auto"/>
        <w:ind w:right="36"/>
        <w:jc w:val="center"/>
        <w:rPr>
          <w:lang w:val="es-CR" w:eastAsia="es-ES"/>
        </w:rPr>
      </w:pPr>
    </w:p>
    <w:p w:rsidR="00740050" w:rsidRDefault="00740050" w:rsidP="00740050">
      <w:pPr>
        <w:pStyle w:val="Style11"/>
        <w:kinsoku w:val="0"/>
        <w:autoSpaceDE/>
        <w:spacing w:line="192" w:lineRule="auto"/>
        <w:ind w:right="36"/>
        <w:jc w:val="center"/>
        <w:rPr>
          <w:lang w:val="es-CR" w:eastAsia="es-ES"/>
        </w:rPr>
      </w:pPr>
    </w:p>
    <w:p w:rsidR="00740050" w:rsidRDefault="00740050" w:rsidP="00740050">
      <w:pPr>
        <w:pStyle w:val="Style11"/>
        <w:kinsoku w:val="0"/>
        <w:autoSpaceDE/>
        <w:spacing w:line="192" w:lineRule="auto"/>
        <w:ind w:right="36"/>
        <w:jc w:val="center"/>
        <w:rPr>
          <w:lang w:val="es-CR" w:eastAsia="es-ES"/>
        </w:rPr>
      </w:pPr>
      <w:r>
        <w:rPr>
          <w:lang w:val="es-CR" w:eastAsia="es-ES"/>
        </w:rPr>
        <w:t>Lic. Carlos Miguel Portuguez Méndez</w:t>
      </w:r>
    </w:p>
    <w:p w:rsidR="00740050" w:rsidRDefault="00740050" w:rsidP="00740050">
      <w:pPr>
        <w:pStyle w:val="Style11"/>
        <w:kinsoku w:val="0"/>
        <w:autoSpaceDE/>
        <w:spacing w:line="192" w:lineRule="auto"/>
        <w:ind w:right="36"/>
        <w:jc w:val="center"/>
        <w:rPr>
          <w:b/>
          <w:lang w:val="es-CR" w:eastAsia="es-ES"/>
        </w:rPr>
      </w:pPr>
      <w:r>
        <w:rPr>
          <w:b/>
          <w:lang w:val="es-CR" w:eastAsia="es-ES"/>
        </w:rPr>
        <w:t>Presidente</w:t>
      </w:r>
    </w:p>
    <w:p w:rsidR="00740050" w:rsidRDefault="00740050" w:rsidP="00740050">
      <w:pPr>
        <w:pStyle w:val="Style11"/>
        <w:kinsoku w:val="0"/>
        <w:autoSpaceDE/>
        <w:spacing w:line="192" w:lineRule="auto"/>
        <w:ind w:right="36"/>
        <w:jc w:val="center"/>
        <w:rPr>
          <w:lang w:val="es-CR" w:eastAsia="es-ES"/>
        </w:rPr>
      </w:pPr>
    </w:p>
    <w:p w:rsidR="00740050" w:rsidRDefault="00740050" w:rsidP="00740050">
      <w:pPr>
        <w:pStyle w:val="Style11"/>
        <w:kinsoku w:val="0"/>
        <w:autoSpaceDE/>
        <w:spacing w:line="192" w:lineRule="auto"/>
        <w:ind w:right="36"/>
        <w:jc w:val="center"/>
        <w:rPr>
          <w:lang w:val="es-CR" w:eastAsia="es-ES"/>
        </w:rPr>
      </w:pPr>
    </w:p>
    <w:p w:rsidR="00740050" w:rsidRDefault="00740050" w:rsidP="00740050">
      <w:pPr>
        <w:pStyle w:val="Style11"/>
        <w:kinsoku w:val="0"/>
        <w:autoSpaceDE/>
        <w:spacing w:line="192" w:lineRule="auto"/>
        <w:ind w:right="36"/>
        <w:jc w:val="center"/>
        <w:rPr>
          <w:lang w:val="es-CR" w:eastAsia="es-ES"/>
        </w:rPr>
      </w:pPr>
    </w:p>
    <w:p w:rsidR="00740050" w:rsidRDefault="00740050" w:rsidP="00740050">
      <w:pPr>
        <w:pStyle w:val="Style11"/>
        <w:kinsoku w:val="0"/>
        <w:autoSpaceDE/>
        <w:spacing w:line="192" w:lineRule="auto"/>
        <w:ind w:right="36"/>
        <w:jc w:val="right"/>
        <w:rPr>
          <w:lang w:val="es-CR" w:eastAsia="es-ES"/>
        </w:rPr>
      </w:pPr>
    </w:p>
    <w:p w:rsidR="00740050" w:rsidRDefault="00740050" w:rsidP="00740050">
      <w:pPr>
        <w:pStyle w:val="Style11"/>
        <w:kinsoku w:val="0"/>
        <w:autoSpaceDE/>
        <w:spacing w:line="192" w:lineRule="auto"/>
        <w:ind w:right="36"/>
        <w:jc w:val="right"/>
        <w:rPr>
          <w:lang w:val="es-CR" w:eastAsia="es-ES"/>
        </w:rPr>
      </w:pPr>
    </w:p>
    <w:p w:rsidR="00740050" w:rsidRDefault="00740050" w:rsidP="00740050">
      <w:pPr>
        <w:pStyle w:val="Style11"/>
        <w:kinsoku w:val="0"/>
        <w:autoSpaceDE/>
        <w:spacing w:line="192" w:lineRule="auto"/>
        <w:ind w:right="36"/>
        <w:jc w:val="center"/>
        <w:rPr>
          <w:lang w:val="es-CR" w:eastAsia="es-ES"/>
        </w:rPr>
      </w:pPr>
      <w:r>
        <w:rPr>
          <w:lang w:val="es-CR" w:eastAsia="es-ES"/>
        </w:rPr>
        <w:t>Licda. Marta Luz Pérez Peláez                                 Lic. Mario Quesada Aguirre</w:t>
      </w:r>
    </w:p>
    <w:p w:rsidR="00740050" w:rsidRDefault="00740050" w:rsidP="00740050">
      <w:pPr>
        <w:pStyle w:val="Style11"/>
        <w:kinsoku w:val="0"/>
        <w:autoSpaceDE/>
        <w:spacing w:line="192" w:lineRule="auto"/>
        <w:ind w:right="36"/>
        <w:jc w:val="center"/>
        <w:rPr>
          <w:b/>
          <w:lang w:val="es-CR" w:eastAsia="es-ES"/>
        </w:rPr>
      </w:pPr>
      <w:r>
        <w:rPr>
          <w:b/>
          <w:lang w:val="es-CR" w:eastAsia="es-ES"/>
        </w:rPr>
        <w:t xml:space="preserve">    Jueza                                                                                    Juez</w:t>
      </w:r>
    </w:p>
    <w:p w:rsidR="00740050" w:rsidRDefault="00740050">
      <w:pPr>
        <w:pStyle w:val="Style21"/>
        <w:tabs>
          <w:tab w:val="right" w:pos="7994"/>
        </w:tabs>
        <w:kinsoku w:val="0"/>
        <w:autoSpaceDE/>
        <w:autoSpaceDN/>
        <w:adjustRightInd/>
        <w:spacing w:line="213" w:lineRule="auto"/>
        <w:ind w:left="5256"/>
        <w:rPr>
          <w:spacing w:val="-8"/>
          <w:w w:val="105"/>
          <w:sz w:val="19"/>
          <w:szCs w:val="19"/>
          <w:lang w:val="es-ES" w:eastAsia="es-ES"/>
        </w:rPr>
      </w:pPr>
    </w:p>
    <w:p w:rsidR="00740050" w:rsidRDefault="00740050">
      <w:pPr>
        <w:pStyle w:val="Style21"/>
        <w:tabs>
          <w:tab w:val="right" w:pos="7994"/>
        </w:tabs>
        <w:kinsoku w:val="0"/>
        <w:autoSpaceDE/>
        <w:autoSpaceDN/>
        <w:adjustRightInd/>
        <w:spacing w:line="213" w:lineRule="auto"/>
        <w:ind w:left="5256"/>
        <w:rPr>
          <w:spacing w:val="-8"/>
          <w:w w:val="105"/>
          <w:sz w:val="19"/>
          <w:szCs w:val="19"/>
          <w:lang w:val="es-ES" w:eastAsia="es-ES"/>
        </w:rPr>
      </w:pPr>
    </w:p>
    <w:p w:rsidR="00081208" w:rsidRDefault="00081208">
      <w:pPr>
        <w:pStyle w:val="Style21"/>
        <w:kinsoku w:val="0"/>
        <w:autoSpaceDE/>
        <w:autoSpaceDN/>
        <w:adjustRightInd/>
        <w:jc w:val="center"/>
        <w:rPr>
          <w:w w:val="105"/>
          <w:lang w:val="es-ES" w:eastAsia="es-ES"/>
        </w:rPr>
      </w:pPr>
    </w:p>
    <w:p w:rsidR="00081208" w:rsidRDefault="00081208">
      <w:pPr>
        <w:pStyle w:val="Style21"/>
        <w:kinsoku w:val="0"/>
        <w:autoSpaceDE/>
        <w:autoSpaceDN/>
        <w:adjustRightInd/>
        <w:jc w:val="center"/>
        <w:rPr>
          <w:w w:val="105"/>
          <w:lang w:val="es-ES" w:eastAsia="es-ES"/>
        </w:rPr>
      </w:pPr>
    </w:p>
    <w:p w:rsidR="00081208" w:rsidRDefault="00081208">
      <w:pPr>
        <w:pStyle w:val="Style21"/>
        <w:kinsoku w:val="0"/>
        <w:autoSpaceDE/>
        <w:autoSpaceDN/>
        <w:adjustRightInd/>
        <w:jc w:val="center"/>
        <w:rPr>
          <w:w w:val="105"/>
          <w:lang w:val="es-ES" w:eastAsia="es-ES"/>
        </w:rPr>
      </w:pPr>
    </w:p>
    <w:p w:rsidR="00081208" w:rsidRDefault="00081208">
      <w:pPr>
        <w:pStyle w:val="Style21"/>
        <w:kinsoku w:val="0"/>
        <w:autoSpaceDE/>
        <w:autoSpaceDN/>
        <w:adjustRightInd/>
        <w:jc w:val="center"/>
        <w:rPr>
          <w:w w:val="105"/>
          <w:lang w:val="es-ES" w:eastAsia="es-ES"/>
        </w:rPr>
      </w:pPr>
    </w:p>
    <w:p w:rsidR="00081208" w:rsidRDefault="00081208">
      <w:pPr>
        <w:pStyle w:val="Style21"/>
        <w:kinsoku w:val="0"/>
        <w:autoSpaceDE/>
        <w:autoSpaceDN/>
        <w:adjustRightInd/>
        <w:jc w:val="center"/>
        <w:rPr>
          <w:w w:val="105"/>
          <w:lang w:val="es-ES" w:eastAsia="es-ES"/>
        </w:rPr>
      </w:pPr>
    </w:p>
    <w:p w:rsidR="00081208" w:rsidRDefault="00081208">
      <w:pPr>
        <w:pStyle w:val="Style21"/>
        <w:kinsoku w:val="0"/>
        <w:autoSpaceDE/>
        <w:autoSpaceDN/>
        <w:adjustRightInd/>
        <w:jc w:val="center"/>
        <w:rPr>
          <w:w w:val="105"/>
          <w:lang w:val="es-ES" w:eastAsia="es-ES"/>
        </w:rPr>
      </w:pPr>
    </w:p>
    <w:p w:rsidR="00740050" w:rsidRDefault="00740050" w:rsidP="00E67980">
      <w:pPr>
        <w:pStyle w:val="Style21"/>
        <w:kinsoku w:val="0"/>
        <w:autoSpaceDE/>
        <w:autoSpaceDN/>
        <w:adjustRightInd/>
        <w:ind w:left="-284" w:right="-376"/>
        <w:jc w:val="center"/>
        <w:rPr>
          <w:w w:val="105"/>
          <w:lang w:val="es-ES" w:eastAsia="es-ES"/>
        </w:rPr>
      </w:pPr>
    </w:p>
    <w:p w:rsidR="00740050" w:rsidRDefault="00740050" w:rsidP="00E67980">
      <w:pPr>
        <w:pStyle w:val="Style21"/>
        <w:kinsoku w:val="0"/>
        <w:autoSpaceDE/>
        <w:autoSpaceDN/>
        <w:adjustRightInd/>
        <w:ind w:left="-284" w:right="-376"/>
        <w:jc w:val="center"/>
        <w:rPr>
          <w:w w:val="105"/>
          <w:lang w:val="es-ES" w:eastAsia="es-ES"/>
        </w:rPr>
      </w:pPr>
    </w:p>
    <w:p w:rsidR="00C9129E" w:rsidRDefault="00C9129E" w:rsidP="00E67980">
      <w:pPr>
        <w:pStyle w:val="Style21"/>
        <w:kinsoku w:val="0"/>
        <w:autoSpaceDE/>
        <w:autoSpaceDN/>
        <w:adjustRightInd/>
        <w:ind w:left="-284" w:right="-376"/>
        <w:jc w:val="center"/>
        <w:rPr>
          <w:w w:val="105"/>
          <w:lang w:val="es-ES" w:eastAsia="es-ES"/>
        </w:rPr>
      </w:pPr>
      <w:r>
        <w:rPr>
          <w:w w:val="105"/>
          <w:lang w:val="es-ES" w:eastAsia="es-ES"/>
        </w:rPr>
        <w:lastRenderedPageBreak/>
        <w:t>CONSIDERACIONES DEL LIC. MARIO QUESADA AGUIRRE</w:t>
      </w:r>
      <w:r>
        <w:rPr>
          <w:w w:val="105"/>
          <w:lang w:val="es-ES" w:eastAsia="es-ES"/>
        </w:rPr>
        <w:br/>
        <w:t>EN CUANTO A LA RESOLUCIÓN No. TAT-2127-2013</w:t>
      </w:r>
    </w:p>
    <w:p w:rsidR="00FB7C18" w:rsidRDefault="00C9129E" w:rsidP="00E67980">
      <w:pPr>
        <w:pStyle w:val="Style21"/>
        <w:kinsoku w:val="0"/>
        <w:autoSpaceDE/>
        <w:autoSpaceDN/>
        <w:adjustRightInd/>
        <w:spacing w:before="288" w:line="206" w:lineRule="auto"/>
        <w:ind w:left="-284" w:right="-376"/>
        <w:jc w:val="both"/>
        <w:rPr>
          <w:rFonts w:ascii="Garamond" w:hAnsi="Garamond" w:cs="Garamond"/>
          <w:spacing w:val="-6"/>
          <w:sz w:val="26"/>
          <w:szCs w:val="26"/>
          <w:u w:val="single"/>
          <w:lang w:val="es-ES" w:eastAsia="es-ES"/>
        </w:rPr>
      </w:pPr>
      <w:r>
        <w:rPr>
          <w:spacing w:val="-3"/>
          <w:w w:val="105"/>
          <w:lang w:val="es-ES" w:eastAsia="es-ES"/>
        </w:rPr>
        <w:t xml:space="preserve">No obstante el suscrito presenta concordancia con los Argumentos de Definición de Fondo </w:t>
      </w:r>
      <w:r>
        <w:rPr>
          <w:spacing w:val="-4"/>
          <w:w w:val="105"/>
          <w:lang w:val="es-ES" w:eastAsia="es-ES"/>
        </w:rPr>
        <w:t xml:space="preserve">del caso en cuestión, sí difiere de la determinación de Mayoría en cuanto a la </w:t>
      </w:r>
      <w:proofErr w:type="spellStart"/>
      <w:r>
        <w:rPr>
          <w:spacing w:val="-4"/>
          <w:w w:val="105"/>
          <w:lang w:val="es-ES" w:eastAsia="es-ES"/>
        </w:rPr>
        <w:t>Recurribilidad</w:t>
      </w:r>
      <w:proofErr w:type="spellEnd"/>
      <w:r>
        <w:rPr>
          <w:spacing w:val="-4"/>
          <w:w w:val="105"/>
          <w:lang w:val="es-ES" w:eastAsia="es-ES"/>
        </w:rPr>
        <w:t xml:space="preserve"> </w:t>
      </w:r>
      <w:r>
        <w:rPr>
          <w:spacing w:val="-2"/>
          <w:w w:val="105"/>
          <w:lang w:val="es-ES" w:eastAsia="es-ES"/>
        </w:rPr>
        <w:t xml:space="preserve">del Acuerdo No. 3.3 de su Sesión Ordinaria No. 37-2011 del 26 de Mayo del 2011 de la </w:t>
      </w:r>
      <w:r>
        <w:rPr>
          <w:spacing w:val="8"/>
          <w:w w:val="105"/>
          <w:lang w:val="es-ES" w:eastAsia="es-ES"/>
        </w:rPr>
        <w:t xml:space="preserve">Junta Directiva del Consejo de Transporte Público </w:t>
      </w:r>
      <w:r>
        <w:rPr>
          <w:i/>
          <w:iCs/>
          <w:spacing w:val="8"/>
          <w:w w:val="105"/>
          <w:lang w:val="es-ES" w:eastAsia="es-ES"/>
        </w:rPr>
        <w:t xml:space="preserve">(Publicación de Informe de </w:t>
      </w:r>
      <w:r>
        <w:rPr>
          <w:i/>
          <w:iCs/>
          <w:spacing w:val="-2"/>
          <w:w w:val="105"/>
          <w:lang w:val="es-ES" w:eastAsia="es-ES"/>
        </w:rPr>
        <w:t xml:space="preserve">Calificaciones Preliminares para el Procedimiento Abreviado de Asignación de 1074 </w:t>
      </w:r>
      <w:r>
        <w:rPr>
          <w:i/>
          <w:iCs/>
          <w:spacing w:val="-7"/>
          <w:w w:val="105"/>
          <w:lang w:val="es-ES" w:eastAsia="es-ES"/>
        </w:rPr>
        <w:t xml:space="preserve">Concesiones de Taxi con Vehículos Adaptados para Personas con Discapacidades). </w:t>
      </w:r>
      <w:r>
        <w:rPr>
          <w:spacing w:val="-7"/>
          <w:w w:val="105"/>
          <w:lang w:val="es-ES" w:eastAsia="es-ES"/>
        </w:rPr>
        <w:t xml:space="preserve">Para el </w:t>
      </w:r>
      <w:r>
        <w:rPr>
          <w:spacing w:val="-6"/>
          <w:w w:val="105"/>
          <w:lang w:val="es-ES" w:eastAsia="es-ES"/>
        </w:rPr>
        <w:t xml:space="preserve">suscrito el referido Acuerdo es un Acto Administrativo Preparatorio </w:t>
      </w:r>
      <w:r>
        <w:rPr>
          <w:rFonts w:ascii="Garamond" w:hAnsi="Garamond" w:cs="Garamond"/>
          <w:spacing w:val="-6"/>
          <w:sz w:val="26"/>
          <w:szCs w:val="26"/>
          <w:u w:val="single"/>
          <w:lang w:val="es-ES" w:eastAsia="es-ES"/>
        </w:rPr>
        <w:t>que no resulta como</w:t>
      </w:r>
      <w:r w:rsidR="00FB7C18">
        <w:rPr>
          <w:rFonts w:ascii="Garamond" w:hAnsi="Garamond" w:cs="Garamond"/>
          <w:spacing w:val="-6"/>
          <w:sz w:val="26"/>
          <w:szCs w:val="26"/>
          <w:u w:val="single"/>
          <w:lang w:val="es-ES" w:eastAsia="es-ES"/>
        </w:rPr>
        <w:t xml:space="preserve"> recurrible, </w:t>
      </w:r>
      <w:r w:rsidR="00FB7C18">
        <w:rPr>
          <w:rFonts w:ascii="Garamond" w:hAnsi="Garamond" w:cs="Garamond"/>
          <w:spacing w:val="-6"/>
          <w:sz w:val="26"/>
          <w:szCs w:val="26"/>
          <w:lang w:val="es-ES" w:eastAsia="es-ES"/>
        </w:rPr>
        <w:t>en razón de lo siguiente</w:t>
      </w:r>
      <w:proofErr w:type="gramStart"/>
      <w:r w:rsidR="00FB7C18">
        <w:rPr>
          <w:rFonts w:ascii="Garamond" w:hAnsi="Garamond" w:cs="Garamond"/>
          <w:spacing w:val="-6"/>
          <w:sz w:val="26"/>
          <w:szCs w:val="26"/>
          <w:lang w:val="es-ES" w:eastAsia="es-ES"/>
        </w:rPr>
        <w:t xml:space="preserve">: </w:t>
      </w:r>
      <w:r>
        <w:rPr>
          <w:rFonts w:ascii="Garamond" w:hAnsi="Garamond" w:cs="Garamond"/>
          <w:spacing w:val="-6"/>
          <w:sz w:val="26"/>
          <w:szCs w:val="26"/>
          <w:u w:val="single"/>
          <w:lang w:val="es-ES" w:eastAsia="es-ES"/>
        </w:rPr>
        <w:t xml:space="preserve"> </w:t>
      </w:r>
      <w:r w:rsidR="00FB7C18">
        <w:rPr>
          <w:rFonts w:ascii="Garamond" w:hAnsi="Garamond" w:cs="Garamond"/>
          <w:spacing w:val="-6"/>
          <w:sz w:val="26"/>
          <w:szCs w:val="26"/>
          <w:lang w:val="es-ES" w:eastAsia="es-ES"/>
        </w:rPr>
        <w:t>----------------------------</w:t>
      </w:r>
      <w:proofErr w:type="gramEnd"/>
      <w:r>
        <w:rPr>
          <w:rFonts w:ascii="Garamond" w:hAnsi="Garamond" w:cs="Garamond"/>
          <w:spacing w:val="-6"/>
          <w:sz w:val="26"/>
          <w:szCs w:val="26"/>
          <w:u w:val="single"/>
          <w:lang w:val="es-ES" w:eastAsia="es-ES"/>
        </w:rPr>
        <w:t xml:space="preserve"> </w:t>
      </w:r>
    </w:p>
    <w:p w:rsidR="00C9129E" w:rsidRDefault="00C9129E" w:rsidP="00E67980">
      <w:pPr>
        <w:pStyle w:val="Style18"/>
        <w:numPr>
          <w:ilvl w:val="0"/>
          <w:numId w:val="15"/>
        </w:numPr>
        <w:tabs>
          <w:tab w:val="clear" w:pos="720"/>
          <w:tab w:val="num" w:pos="864"/>
          <w:tab w:val="right" w:leader="hyphen" w:pos="8963"/>
        </w:tabs>
        <w:kinsoku w:val="0"/>
        <w:autoSpaceDE/>
        <w:autoSpaceDN/>
        <w:ind w:left="-284" w:right="-376"/>
        <w:jc w:val="both"/>
        <w:rPr>
          <w:rStyle w:val="CharacterStyle6"/>
          <w:w w:val="105"/>
          <w:lang w:val="es-ES" w:eastAsia="es-ES"/>
        </w:rPr>
      </w:pPr>
      <w:r>
        <w:rPr>
          <w:rStyle w:val="CharacterStyle6"/>
          <w:spacing w:val="1"/>
          <w:w w:val="105"/>
          <w:lang w:val="es-ES" w:eastAsia="es-ES"/>
        </w:rPr>
        <w:t>Primeramente, en lo general, como Acto Preparatorio y en interpretación de las</w:t>
      </w:r>
      <w:r w:rsidR="00FB7C18">
        <w:rPr>
          <w:rStyle w:val="CharacterStyle6"/>
          <w:spacing w:val="1"/>
          <w:w w:val="105"/>
          <w:lang w:val="es-ES" w:eastAsia="es-ES"/>
        </w:rPr>
        <w:t xml:space="preserve"> </w:t>
      </w:r>
      <w:r>
        <w:rPr>
          <w:rStyle w:val="CharacterStyle6"/>
          <w:spacing w:val="-1"/>
          <w:w w:val="105"/>
          <w:lang w:val="es-ES" w:eastAsia="es-ES"/>
        </w:rPr>
        <w:t xml:space="preserve">determinaciones del literal 163.2 de la Ley General de la Administración Pública, debería </w:t>
      </w:r>
      <w:r>
        <w:rPr>
          <w:rStyle w:val="CharacterStyle6"/>
          <w:spacing w:val="-3"/>
          <w:w w:val="105"/>
          <w:lang w:val="es-ES" w:eastAsia="es-ES"/>
        </w:rPr>
        <w:t xml:space="preserve">de ser impugnado conjuntamente con el Acto Final de Adjudicación. Toda vez que estimo que dicho Acuerdo no presenta efectos por sí mismo </w:t>
      </w:r>
      <w:r>
        <w:rPr>
          <w:rStyle w:val="CharacterStyle6"/>
          <w:i/>
          <w:iCs/>
          <w:spacing w:val="-3"/>
          <w:w w:val="105"/>
          <w:lang w:val="es-ES" w:eastAsia="es-ES"/>
        </w:rPr>
        <w:t xml:space="preserve">(directos e inmediatos), </w:t>
      </w:r>
      <w:r>
        <w:rPr>
          <w:rStyle w:val="CharacterStyle6"/>
          <w:spacing w:val="-3"/>
          <w:w w:val="105"/>
          <w:lang w:val="es-ES" w:eastAsia="es-ES"/>
        </w:rPr>
        <w:t xml:space="preserve">sino que su razón de ser es la retroalimentación el procedimiento en torno al cual se genera y buscar </w:t>
      </w:r>
      <w:r>
        <w:rPr>
          <w:rStyle w:val="CharacterStyle6"/>
          <w:spacing w:val="-2"/>
          <w:w w:val="105"/>
          <w:lang w:val="es-ES" w:eastAsia="es-ES"/>
        </w:rPr>
        <w:t xml:space="preserve">depurar </w:t>
      </w:r>
      <w:r>
        <w:rPr>
          <w:rStyle w:val="CharacterStyle6"/>
          <w:i/>
          <w:iCs/>
          <w:spacing w:val="-2"/>
          <w:w w:val="105"/>
          <w:lang w:val="es-ES" w:eastAsia="es-ES"/>
        </w:rPr>
        <w:t xml:space="preserve">—a posteriori- </w:t>
      </w:r>
      <w:r>
        <w:rPr>
          <w:rStyle w:val="CharacterStyle6"/>
          <w:spacing w:val="-2"/>
          <w:w w:val="105"/>
          <w:lang w:val="es-ES" w:eastAsia="es-ES"/>
        </w:rPr>
        <w:t xml:space="preserve">lo conducente </w:t>
      </w:r>
      <w:r>
        <w:rPr>
          <w:rStyle w:val="CharacterStyle6"/>
          <w:i/>
          <w:iCs/>
          <w:spacing w:val="-2"/>
          <w:w w:val="105"/>
          <w:lang w:val="es-ES" w:eastAsia="es-ES"/>
        </w:rPr>
        <w:t xml:space="preserve">(recepción de consideraciones meritorias). </w:t>
      </w:r>
      <w:r>
        <w:rPr>
          <w:rStyle w:val="CharacterStyle6"/>
          <w:spacing w:val="-2"/>
          <w:w w:val="105"/>
          <w:lang w:val="es-ES" w:eastAsia="es-ES"/>
        </w:rPr>
        <w:t xml:space="preserve">Y no es </w:t>
      </w:r>
      <w:r>
        <w:rPr>
          <w:rStyle w:val="CharacterStyle6"/>
          <w:spacing w:val="-4"/>
          <w:w w:val="105"/>
          <w:lang w:val="es-ES" w:eastAsia="es-ES"/>
        </w:rPr>
        <w:t xml:space="preserve">sino hasta que se dé un Acto Final, emitido por un Órgano Decisor debido que lo avale </w:t>
      </w:r>
      <w:r>
        <w:rPr>
          <w:rStyle w:val="CharacterStyle6"/>
          <w:i/>
          <w:iCs/>
          <w:spacing w:val="-4"/>
          <w:w w:val="105"/>
          <w:lang w:val="es-ES" w:eastAsia="es-ES"/>
        </w:rPr>
        <w:t xml:space="preserve">(en </w:t>
      </w:r>
      <w:r>
        <w:rPr>
          <w:rStyle w:val="CharacterStyle6"/>
          <w:i/>
          <w:iCs/>
          <w:spacing w:val="-3"/>
          <w:w w:val="105"/>
          <w:lang w:val="es-ES" w:eastAsia="es-ES"/>
        </w:rPr>
        <w:t xml:space="preserve">todo o en parte) </w:t>
      </w:r>
      <w:r>
        <w:rPr>
          <w:rStyle w:val="CharacterStyle6"/>
          <w:spacing w:val="-3"/>
          <w:w w:val="105"/>
          <w:lang w:val="es-ES" w:eastAsia="es-ES"/>
        </w:rPr>
        <w:t xml:space="preserve">que dicho Acto pasaría a ser una actuación consustancial. Concordando en </w:t>
      </w:r>
      <w:r>
        <w:rPr>
          <w:rStyle w:val="CharacterStyle6"/>
          <w:spacing w:val="-4"/>
          <w:w w:val="105"/>
          <w:lang w:val="es-ES" w:eastAsia="es-ES"/>
        </w:rPr>
        <w:t>tal sentido con lo que el Consejo de Transporte Público ha dispuesto sobre el particular</w:t>
      </w:r>
      <w:r w:rsidR="00336E18">
        <w:rPr>
          <w:rStyle w:val="CharacterStyle6"/>
          <w:spacing w:val="-4"/>
          <w:w w:val="105"/>
          <w:lang w:val="es-ES" w:eastAsia="es-ES"/>
        </w:rPr>
        <w:t>.----------------------------------------------------</w:t>
      </w:r>
    </w:p>
    <w:p w:rsidR="00336E18" w:rsidRPr="00336E18" w:rsidRDefault="00C9129E" w:rsidP="00E67980">
      <w:pPr>
        <w:pStyle w:val="Style19"/>
        <w:kinsoku w:val="0"/>
        <w:autoSpaceDE/>
        <w:autoSpaceDN/>
        <w:ind w:left="-284" w:right="-376"/>
        <w:rPr>
          <w:rStyle w:val="CharacterStyle11"/>
          <w:b/>
          <w:iCs w:val="0"/>
          <w:spacing w:val="-3"/>
          <w:w w:val="105"/>
          <w:lang w:val="es-ES" w:eastAsia="es-ES"/>
        </w:rPr>
      </w:pPr>
      <w:r>
        <w:rPr>
          <w:rStyle w:val="CharacterStyle11"/>
          <w:i/>
          <w:spacing w:val="-6"/>
          <w:w w:val="105"/>
          <w:lang w:val="es-ES" w:eastAsia="es-ES"/>
        </w:rPr>
        <w:t xml:space="preserve">..."No establece la normativa propia de contratación administrativa, como tampoco la Ley </w:t>
      </w:r>
      <w:r>
        <w:rPr>
          <w:rStyle w:val="CharacterStyle11"/>
          <w:i/>
          <w:spacing w:val="-1"/>
          <w:w w:val="105"/>
          <w:lang w:val="es-ES" w:eastAsia="es-ES"/>
        </w:rPr>
        <w:t xml:space="preserve">General de la Administración Pública, la posibilidad de impugnar dictámenes técnicos </w:t>
      </w:r>
      <w:r>
        <w:rPr>
          <w:rStyle w:val="CharacterStyle11"/>
          <w:i/>
          <w:spacing w:val="-4"/>
          <w:w w:val="105"/>
          <w:lang w:val="es-ES" w:eastAsia="es-ES"/>
        </w:rPr>
        <w:t xml:space="preserve">que, en definitiva, se constituyen en los denominados actos preparatorios para la decisión </w:t>
      </w:r>
      <w:r>
        <w:rPr>
          <w:rStyle w:val="CharacterStyle11"/>
          <w:i/>
          <w:spacing w:val="-5"/>
          <w:w w:val="105"/>
          <w:lang w:val="es-ES" w:eastAsia="es-ES"/>
        </w:rPr>
        <w:t xml:space="preserve">final, que deben ser impugnados conjuntamente con el acto final (artículo 163.2 de la Ley </w:t>
      </w:r>
      <w:r>
        <w:rPr>
          <w:rStyle w:val="CharacterStyle11"/>
          <w:i/>
          <w:spacing w:val="-4"/>
          <w:w w:val="105"/>
          <w:lang w:val="es-ES" w:eastAsia="es-ES"/>
        </w:rPr>
        <w:t xml:space="preserve">General de la Administración Pública). De esta forma debe rechazarse de plano el recurso </w:t>
      </w:r>
      <w:r>
        <w:rPr>
          <w:rStyle w:val="CharacterStyle11"/>
          <w:i/>
          <w:spacing w:val="-3"/>
          <w:w w:val="105"/>
          <w:lang w:val="es-ES" w:eastAsia="es-ES"/>
        </w:rPr>
        <w:t>de revocatoria con apelación en subsidio</w:t>
      </w:r>
      <w:r w:rsidRPr="00336E18">
        <w:rPr>
          <w:rStyle w:val="CharacterStyle11"/>
          <w:b/>
          <w:i/>
          <w:spacing w:val="-3"/>
          <w:w w:val="105"/>
          <w:lang w:val="es-ES" w:eastAsia="es-ES"/>
        </w:rPr>
        <w:t xml:space="preserve">."... </w:t>
      </w:r>
      <w:r w:rsidRPr="00336E18">
        <w:rPr>
          <w:rStyle w:val="CharacterStyle11"/>
          <w:b/>
          <w:iCs w:val="0"/>
          <w:spacing w:val="-3"/>
          <w:w w:val="105"/>
          <w:lang w:val="es-ES" w:eastAsia="es-ES"/>
        </w:rPr>
        <w:t>(RC-80-2001 de las 10:00 horas del 13</w:t>
      </w:r>
      <w:r w:rsidR="00336E18" w:rsidRPr="00336E18">
        <w:rPr>
          <w:rStyle w:val="CharacterStyle11"/>
          <w:b/>
          <w:iCs w:val="0"/>
          <w:spacing w:val="-3"/>
          <w:w w:val="105"/>
          <w:lang w:val="es-ES" w:eastAsia="es-ES"/>
        </w:rPr>
        <w:t xml:space="preserve"> de Febrero del 2001 de la CGR).---------------------------</w:t>
      </w:r>
      <w:r w:rsidR="00E67980">
        <w:rPr>
          <w:rStyle w:val="CharacterStyle11"/>
          <w:b/>
          <w:iCs w:val="0"/>
          <w:spacing w:val="-3"/>
          <w:w w:val="105"/>
          <w:lang w:val="es-ES" w:eastAsia="es-ES"/>
        </w:rPr>
        <w:t>-------------------------------</w:t>
      </w:r>
    </w:p>
    <w:p w:rsidR="00336E18" w:rsidRDefault="00336E18" w:rsidP="00E67980">
      <w:pPr>
        <w:pStyle w:val="Style19"/>
        <w:kinsoku w:val="0"/>
        <w:autoSpaceDE/>
        <w:autoSpaceDN/>
        <w:ind w:left="-284" w:right="-376"/>
        <w:rPr>
          <w:rStyle w:val="CharacterStyle11"/>
          <w:iCs w:val="0"/>
          <w:spacing w:val="-3"/>
          <w:w w:val="105"/>
          <w:lang w:val="es-ES" w:eastAsia="es-ES"/>
        </w:rPr>
      </w:pPr>
    </w:p>
    <w:p w:rsidR="00C9129E" w:rsidRDefault="00C9129E" w:rsidP="00E67980">
      <w:pPr>
        <w:pStyle w:val="Style18"/>
        <w:numPr>
          <w:ilvl w:val="0"/>
          <w:numId w:val="15"/>
        </w:numPr>
        <w:tabs>
          <w:tab w:val="clear" w:pos="720"/>
          <w:tab w:val="num" w:pos="864"/>
          <w:tab w:val="right" w:leader="hyphen" w:pos="8963"/>
        </w:tabs>
        <w:kinsoku w:val="0"/>
        <w:autoSpaceDE/>
        <w:autoSpaceDN/>
        <w:spacing w:before="180"/>
        <w:ind w:left="-284" w:right="-376" w:firstLine="144"/>
        <w:jc w:val="both"/>
        <w:rPr>
          <w:rStyle w:val="CharacterStyle6"/>
          <w:w w:val="105"/>
          <w:lang w:val="es-ES" w:eastAsia="es-ES"/>
        </w:rPr>
      </w:pPr>
      <w:r>
        <w:rPr>
          <w:rStyle w:val="CharacterStyle6"/>
          <w:spacing w:val="-4"/>
          <w:w w:val="105"/>
          <w:lang w:val="es-ES" w:eastAsia="es-ES"/>
        </w:rPr>
        <w:t xml:space="preserve">Unido y ligado con lo anterior, en la especie se trata </w:t>
      </w:r>
      <w:r>
        <w:rPr>
          <w:rStyle w:val="CharacterStyle6"/>
          <w:i/>
          <w:iCs/>
          <w:spacing w:val="-4"/>
          <w:w w:val="105"/>
          <w:lang w:val="es-ES" w:eastAsia="es-ES"/>
        </w:rPr>
        <w:t xml:space="preserve">—evidentemente- </w:t>
      </w:r>
      <w:r>
        <w:rPr>
          <w:rStyle w:val="CharacterStyle6"/>
          <w:spacing w:val="-4"/>
          <w:w w:val="105"/>
          <w:lang w:val="es-ES" w:eastAsia="es-ES"/>
        </w:rPr>
        <w:t>de materia de</w:t>
      </w:r>
      <w:r w:rsidR="00336E18">
        <w:rPr>
          <w:rStyle w:val="CharacterStyle6"/>
          <w:spacing w:val="-4"/>
          <w:w w:val="105"/>
          <w:lang w:val="es-ES" w:eastAsia="es-ES"/>
        </w:rPr>
        <w:t xml:space="preserve"> </w:t>
      </w:r>
      <w:r>
        <w:rPr>
          <w:rStyle w:val="CharacterStyle6"/>
          <w:spacing w:val="-5"/>
          <w:w w:val="105"/>
          <w:lang w:val="es-ES" w:eastAsia="es-ES"/>
        </w:rPr>
        <w:t xml:space="preserve">Contratación Administrativa, la cual debe de valorarse y definirse a tenor de las Normas y </w:t>
      </w:r>
      <w:r>
        <w:rPr>
          <w:rStyle w:val="CharacterStyle6"/>
          <w:spacing w:val="4"/>
          <w:w w:val="105"/>
          <w:lang w:val="es-ES" w:eastAsia="es-ES"/>
        </w:rPr>
        <w:t xml:space="preserve">Principios que rigen en dicha materia y que mandan que en los Procedimientos de </w:t>
      </w:r>
      <w:r>
        <w:rPr>
          <w:rStyle w:val="CharacterStyle6"/>
          <w:spacing w:val="-5"/>
          <w:w w:val="105"/>
          <w:lang w:val="es-ES" w:eastAsia="es-ES"/>
        </w:rPr>
        <w:t xml:space="preserve">Contratación Administrativa la Materia Recursiva es taxativa y constituye materia reglada a </w:t>
      </w:r>
      <w:r>
        <w:rPr>
          <w:rStyle w:val="CharacterStyle6"/>
          <w:spacing w:val="-2"/>
          <w:w w:val="105"/>
          <w:lang w:val="es-ES" w:eastAsia="es-ES"/>
        </w:rPr>
        <w:t xml:space="preserve">nivel de Normativa Especial </w:t>
      </w:r>
      <w:r>
        <w:rPr>
          <w:rStyle w:val="CharacterStyle6"/>
          <w:i/>
          <w:iCs/>
          <w:spacing w:val="-2"/>
          <w:w w:val="105"/>
          <w:lang w:val="es-ES" w:eastAsia="es-ES"/>
        </w:rPr>
        <w:t xml:space="preserve">(ver Resoluciones Nos. RSL 294-99 de las 15:30 horas del 13 </w:t>
      </w:r>
      <w:r>
        <w:rPr>
          <w:rStyle w:val="CharacterStyle6"/>
          <w:i/>
          <w:iCs/>
          <w:spacing w:val="1"/>
          <w:w w:val="105"/>
          <w:lang w:val="es-ES" w:eastAsia="es-ES"/>
        </w:rPr>
        <w:t xml:space="preserve">de julio de 1999 y RC-036-2002 de las 11:00 del 22 de enero del 2002, ambas de la </w:t>
      </w:r>
      <w:r>
        <w:rPr>
          <w:rStyle w:val="CharacterStyle6"/>
          <w:i/>
          <w:iCs/>
          <w:spacing w:val="-4"/>
          <w:w w:val="105"/>
          <w:lang w:val="es-ES" w:eastAsia="es-ES"/>
        </w:rPr>
        <w:t xml:space="preserve">Contraloría General de la República). </w:t>
      </w:r>
      <w:r>
        <w:rPr>
          <w:rStyle w:val="CharacterStyle6"/>
          <w:spacing w:val="-4"/>
          <w:w w:val="105"/>
          <w:lang w:val="es-ES" w:eastAsia="es-ES"/>
        </w:rPr>
        <w:t xml:space="preserve">Y en tal orden de ideas en la materia especial y/o </w:t>
      </w:r>
      <w:r>
        <w:rPr>
          <w:rStyle w:val="CharacterStyle6"/>
          <w:spacing w:val="5"/>
          <w:w w:val="105"/>
          <w:lang w:val="es-ES" w:eastAsia="es-ES"/>
        </w:rPr>
        <w:t xml:space="preserve">particular de la Contratación Administrativa, contra los Actos Preparatorios en la </w:t>
      </w:r>
      <w:r>
        <w:rPr>
          <w:rStyle w:val="CharacterStyle6"/>
          <w:spacing w:val="1"/>
          <w:w w:val="105"/>
          <w:lang w:val="es-ES" w:eastAsia="es-ES"/>
        </w:rPr>
        <w:t xml:space="preserve">Contratación Administrativa no caben recursos interlocutorios independientes. Así lo </w:t>
      </w:r>
      <w:r>
        <w:rPr>
          <w:rStyle w:val="CharacterStyle6"/>
          <w:spacing w:val="-3"/>
          <w:w w:val="105"/>
          <w:lang w:val="es-ES" w:eastAsia="es-ES"/>
        </w:rPr>
        <w:t>refleja la jurisprudencia del Órgano Contralor en la materia referida, al indicar ésta:</w:t>
      </w:r>
      <w:r w:rsidR="00336E18">
        <w:rPr>
          <w:rStyle w:val="CharacterStyle6"/>
          <w:spacing w:val="-3"/>
          <w:w w:val="105"/>
          <w:lang w:val="es-ES" w:eastAsia="es-ES"/>
        </w:rPr>
        <w:t>-------------------------------------------------------------------</w:t>
      </w:r>
    </w:p>
    <w:p w:rsidR="00C9129E" w:rsidRPr="00E67980" w:rsidRDefault="00C9129E" w:rsidP="00E67980">
      <w:pPr>
        <w:pStyle w:val="Style19"/>
        <w:kinsoku w:val="0"/>
        <w:autoSpaceDE/>
        <w:autoSpaceDN/>
        <w:spacing w:before="216"/>
        <w:ind w:left="-284" w:right="-376"/>
        <w:rPr>
          <w:rStyle w:val="CharacterStyle11"/>
          <w:b/>
          <w:i/>
          <w:spacing w:val="-2"/>
          <w:w w:val="105"/>
          <w:lang w:val="es-ES" w:eastAsia="es-ES"/>
        </w:rPr>
      </w:pPr>
      <w:r w:rsidRPr="00E67980">
        <w:rPr>
          <w:rStyle w:val="CharacterStyle11"/>
          <w:b/>
          <w:i/>
          <w:w w:val="105"/>
          <w:lang w:val="es-ES" w:eastAsia="es-ES"/>
        </w:rPr>
        <w:t xml:space="preserve">Recurso de apelación. Actos Preparatorios No son Impugnables. Procede Impugnar el </w:t>
      </w:r>
      <w:r w:rsidRPr="00E67980">
        <w:rPr>
          <w:rStyle w:val="CharacterStyle11"/>
          <w:b/>
          <w:i/>
          <w:spacing w:val="-2"/>
          <w:w w:val="105"/>
          <w:lang w:val="es-ES" w:eastAsia="es-ES"/>
        </w:rPr>
        <w:t>Acto de Adjudicación.</w:t>
      </w:r>
    </w:p>
    <w:p w:rsidR="00C9129E" w:rsidRDefault="00C9129E" w:rsidP="00E67980">
      <w:pPr>
        <w:pStyle w:val="Style21"/>
        <w:kinsoku w:val="0"/>
        <w:autoSpaceDE/>
        <w:autoSpaceDN/>
        <w:adjustRightInd/>
        <w:spacing w:before="144" w:after="144"/>
        <w:ind w:left="-284" w:right="-376"/>
        <w:jc w:val="both"/>
        <w:rPr>
          <w:spacing w:val="-3"/>
          <w:w w:val="105"/>
          <w:lang w:val="es-ES" w:eastAsia="es-ES"/>
        </w:rPr>
      </w:pPr>
      <w:r>
        <w:rPr>
          <w:spacing w:val="-1"/>
          <w:w w:val="105"/>
          <w:lang w:val="es-ES" w:eastAsia="es-ES"/>
        </w:rPr>
        <w:t xml:space="preserve">Lo cierto es que en materia de contratación administrativa, el régimen recursivo especial </w:t>
      </w:r>
      <w:r>
        <w:rPr>
          <w:spacing w:val="-5"/>
          <w:w w:val="105"/>
          <w:lang w:val="es-ES" w:eastAsia="es-ES"/>
        </w:rPr>
        <w:t xml:space="preserve">que contempla la Ley de Contratación Administrativa y su Reglamento General no admiten </w:t>
      </w:r>
      <w:r>
        <w:rPr>
          <w:spacing w:val="-3"/>
          <w:w w:val="105"/>
          <w:lang w:val="es-ES" w:eastAsia="es-ES"/>
        </w:rPr>
        <w:t xml:space="preserve">una impugnación de actos preparatorios previos al acto de adjudicación o </w:t>
      </w:r>
      <w:proofErr w:type="spellStart"/>
      <w:r>
        <w:rPr>
          <w:spacing w:val="-3"/>
          <w:w w:val="105"/>
          <w:lang w:val="es-ES" w:eastAsia="es-ES"/>
        </w:rPr>
        <w:t>readjudicación</w:t>
      </w:r>
      <w:proofErr w:type="spellEnd"/>
      <w:r>
        <w:rPr>
          <w:spacing w:val="-3"/>
          <w:w w:val="105"/>
          <w:lang w:val="es-ES" w:eastAsia="es-ES"/>
        </w:rPr>
        <w:t>, como en este caso. Es decir que ante la exclusión de las ofertas por razones de elegibilidad</w:t>
      </w:r>
    </w:p>
    <w:p w:rsidR="00C9129E" w:rsidRPr="00740050" w:rsidRDefault="00C9129E" w:rsidP="00E67980">
      <w:pPr>
        <w:spacing w:after="18"/>
        <w:ind w:left="-284" w:right="-376"/>
        <w:rPr>
          <w:lang w:val="es-CR"/>
        </w:rPr>
      </w:pPr>
    </w:p>
    <w:p w:rsidR="00C9129E" w:rsidRDefault="00C9129E">
      <w:pPr>
        <w:pStyle w:val="Style20"/>
        <w:kinsoku w:val="0"/>
        <w:autoSpaceDE/>
        <w:autoSpaceDN/>
        <w:rPr>
          <w:rStyle w:val="CharacterStyle6"/>
          <w:b/>
          <w:bCs/>
          <w:w w:val="105"/>
          <w:sz w:val="23"/>
          <w:szCs w:val="23"/>
          <w:lang w:val="es-ES" w:eastAsia="es-ES"/>
        </w:rPr>
      </w:pPr>
      <w:proofErr w:type="gramStart"/>
      <w:r>
        <w:rPr>
          <w:rStyle w:val="CharacterStyle6"/>
          <w:spacing w:val="-7"/>
          <w:w w:val="105"/>
          <w:lang w:val="es-ES" w:eastAsia="es-ES"/>
        </w:rPr>
        <w:t>en</w:t>
      </w:r>
      <w:proofErr w:type="gramEnd"/>
      <w:r>
        <w:rPr>
          <w:rStyle w:val="CharacterStyle6"/>
          <w:spacing w:val="-7"/>
          <w:w w:val="105"/>
          <w:lang w:val="es-ES" w:eastAsia="es-ES"/>
        </w:rPr>
        <w:t xml:space="preserve"> una segunda ronda de evaluación, no existe una instancia de impugnación ante la </w:t>
      </w:r>
      <w:r>
        <w:rPr>
          <w:rStyle w:val="CharacterStyle6"/>
          <w:spacing w:val="-7"/>
          <w:w w:val="105"/>
          <w:lang w:val="es-ES" w:eastAsia="es-ES"/>
        </w:rPr>
        <w:lastRenderedPageBreak/>
        <w:t xml:space="preserve">propia </w:t>
      </w:r>
      <w:r>
        <w:rPr>
          <w:rStyle w:val="CharacterStyle6"/>
          <w:spacing w:val="-5"/>
          <w:w w:val="105"/>
          <w:lang w:val="es-ES" w:eastAsia="es-ES"/>
        </w:rPr>
        <w:t xml:space="preserve">administración como lo aduce la parte readjudicataria, sino que únicamente procede —en </w:t>
      </w:r>
      <w:r>
        <w:rPr>
          <w:rStyle w:val="CharacterStyle6"/>
          <w:spacing w:val="-2"/>
          <w:w w:val="105"/>
          <w:lang w:val="es-ES" w:eastAsia="es-ES"/>
        </w:rPr>
        <w:t xml:space="preserve">atención a la cuantía- presentar el recurso que corresponda ante el órgano competente </w:t>
      </w:r>
      <w:r>
        <w:rPr>
          <w:rStyle w:val="CharacterStyle6"/>
          <w:w w:val="105"/>
          <w:lang w:val="es-ES" w:eastAsia="es-ES"/>
        </w:rPr>
        <w:t xml:space="preserve">impugnando la decisión final, es decir el acto de </w:t>
      </w:r>
      <w:proofErr w:type="spellStart"/>
      <w:r>
        <w:rPr>
          <w:rStyle w:val="CharacterStyle6"/>
          <w:w w:val="105"/>
          <w:lang w:val="es-ES" w:eastAsia="es-ES"/>
        </w:rPr>
        <w:t>readjudicación</w:t>
      </w:r>
      <w:proofErr w:type="spellEnd"/>
      <w:r>
        <w:rPr>
          <w:rStyle w:val="CharacterStyle6"/>
          <w:w w:val="105"/>
          <w:lang w:val="es-ES" w:eastAsia="es-ES"/>
        </w:rPr>
        <w:t xml:space="preserve">. Es evidente que esa </w:t>
      </w:r>
      <w:r>
        <w:rPr>
          <w:rStyle w:val="CharacterStyle6"/>
          <w:spacing w:val="6"/>
          <w:w w:val="105"/>
          <w:lang w:val="es-ES" w:eastAsia="es-ES"/>
        </w:rPr>
        <w:t xml:space="preserve">impugnación queda sujeta a los límites de la preclusión procesal y a la obligada </w:t>
      </w:r>
      <w:r>
        <w:rPr>
          <w:rStyle w:val="CharacterStyle6"/>
          <w:spacing w:val="7"/>
          <w:w w:val="105"/>
          <w:lang w:val="es-ES" w:eastAsia="es-ES"/>
        </w:rPr>
        <w:t xml:space="preserve">consideración de hechos nuevos, situación que se advierte en el caso de manas. </w:t>
      </w:r>
      <w:r>
        <w:rPr>
          <w:rStyle w:val="CharacterStyle6"/>
          <w:b/>
          <w:bCs/>
          <w:spacing w:val="11"/>
          <w:w w:val="105"/>
          <w:sz w:val="23"/>
          <w:szCs w:val="23"/>
          <w:lang w:val="es-ES" w:eastAsia="es-ES"/>
        </w:rPr>
        <w:t xml:space="preserve">(Resolución No. RC-712-2002 de las 10:00 horas del 4 de noviembre de 2002).  </w:t>
      </w:r>
      <w:r>
        <w:rPr>
          <w:rStyle w:val="CharacterStyle6"/>
          <w:b/>
          <w:bCs/>
          <w:w w:val="105"/>
          <w:sz w:val="23"/>
          <w:szCs w:val="23"/>
          <w:lang w:val="es-ES" w:eastAsia="es-ES"/>
        </w:rPr>
        <w:t>---</w:t>
      </w:r>
    </w:p>
    <w:p w:rsidR="00C9129E" w:rsidRPr="00105FEA" w:rsidRDefault="00C9129E">
      <w:pPr>
        <w:pStyle w:val="Style4"/>
        <w:kinsoku w:val="0"/>
        <w:autoSpaceDE/>
        <w:autoSpaceDN/>
        <w:rPr>
          <w:rStyle w:val="CharacterStyle5"/>
          <w:b/>
          <w:lang w:val="es-CR" w:eastAsia="en-US"/>
        </w:rPr>
      </w:pPr>
      <w:r w:rsidRPr="00B17A12">
        <w:rPr>
          <w:rStyle w:val="CharacterStyle6"/>
          <w:bCs w:val="0"/>
          <w:spacing w:val="-3"/>
          <w:szCs w:val="24"/>
        </w:rPr>
        <w:t>Recurso de Apelación. No Cabe contra Acto Preparatorio. Estudio Técnico No Objetado por el Banco, Puesto que Resta la Negociación Económica para Adjudicar.-</w:t>
      </w:r>
      <w:r w:rsidRPr="00B17A12">
        <w:rPr>
          <w:rStyle w:val="CharacterStyle6"/>
          <w:bCs w:val="0"/>
          <w:spacing w:val="-3"/>
          <w:szCs w:val="24"/>
        </w:rPr>
        <w:noBreakHyphen/>
      </w:r>
    </w:p>
    <w:p w:rsidR="00C9129E" w:rsidRDefault="00C9129E" w:rsidP="00B17A12">
      <w:pPr>
        <w:pStyle w:val="Style20"/>
        <w:kinsoku w:val="0"/>
        <w:autoSpaceDE/>
        <w:autoSpaceDN/>
        <w:spacing w:before="216" w:after="108"/>
        <w:rPr>
          <w:rStyle w:val="CharacterStyle6"/>
          <w:b/>
          <w:bCs/>
          <w:spacing w:val="109"/>
          <w:w w:val="105"/>
          <w:sz w:val="23"/>
          <w:szCs w:val="23"/>
          <w:lang w:val="es-ES" w:eastAsia="es-ES"/>
        </w:rPr>
      </w:pPr>
      <w:r>
        <w:rPr>
          <w:rStyle w:val="CharacterStyle6"/>
          <w:spacing w:val="-1"/>
          <w:w w:val="105"/>
          <w:lang w:val="es-ES" w:eastAsia="es-ES"/>
        </w:rPr>
        <w:t xml:space="preserve">Más bien pareciera que el término aplicable es el de </w:t>
      </w:r>
      <w:proofErr w:type="spellStart"/>
      <w:r>
        <w:rPr>
          <w:rStyle w:val="CharacterStyle6"/>
          <w:spacing w:val="-1"/>
          <w:w w:val="105"/>
          <w:lang w:val="es-ES" w:eastAsia="es-ES"/>
        </w:rPr>
        <w:t>preadjudicación</w:t>
      </w:r>
      <w:proofErr w:type="spellEnd"/>
      <w:r>
        <w:rPr>
          <w:rStyle w:val="CharacterStyle6"/>
          <w:spacing w:val="-1"/>
          <w:w w:val="105"/>
          <w:lang w:val="es-ES" w:eastAsia="es-ES"/>
        </w:rPr>
        <w:t xml:space="preserve">, donde ya hay un </w:t>
      </w:r>
      <w:r>
        <w:rPr>
          <w:rStyle w:val="CharacterStyle6"/>
          <w:spacing w:val="-3"/>
          <w:w w:val="105"/>
          <w:lang w:val="es-ES" w:eastAsia="es-ES"/>
        </w:rPr>
        <w:t xml:space="preserve">estudio técnico y falta por abrir, por ser el sistema así, el segundo sobre, sea el que contiene </w:t>
      </w:r>
      <w:r>
        <w:rPr>
          <w:rStyle w:val="CharacterStyle6"/>
          <w:spacing w:val="-2"/>
          <w:w w:val="105"/>
          <w:lang w:val="es-ES" w:eastAsia="es-ES"/>
        </w:rPr>
        <w:t xml:space="preserve">la propuesta económica. Solo una vez que se publica o da a conocer el resultado de la </w:t>
      </w:r>
      <w:r>
        <w:rPr>
          <w:rStyle w:val="CharacterStyle6"/>
          <w:spacing w:val="-1"/>
          <w:w w:val="105"/>
          <w:lang w:val="es-ES" w:eastAsia="es-ES"/>
        </w:rPr>
        <w:t xml:space="preserve">negociación en punto al precio llevado a cabo entre la administración y la empresa que </w:t>
      </w:r>
      <w:r>
        <w:rPr>
          <w:rStyle w:val="CharacterStyle6"/>
          <w:spacing w:val="8"/>
          <w:w w:val="105"/>
          <w:lang w:val="es-ES" w:eastAsia="es-ES"/>
        </w:rPr>
        <w:t xml:space="preserve">ocupa el primer lugar en el orden de mérito, es que podemos hablar de acto de </w:t>
      </w:r>
      <w:r>
        <w:rPr>
          <w:rStyle w:val="CharacterStyle6"/>
          <w:spacing w:val="-5"/>
          <w:w w:val="105"/>
          <w:lang w:val="es-ES" w:eastAsia="es-ES"/>
        </w:rPr>
        <w:t xml:space="preserve">adjudicación, antes no ya que pueden presentarse aristas como que el precio sea excesivo o </w:t>
      </w:r>
      <w:r>
        <w:rPr>
          <w:rStyle w:val="CharacterStyle6"/>
          <w:spacing w:val="-8"/>
          <w:w w:val="105"/>
          <w:lang w:val="es-ES" w:eastAsia="es-ES"/>
        </w:rPr>
        <w:t xml:space="preserve">supere el presupuesto destinado y deba la administración desistir de ese oferente, pasando a </w:t>
      </w:r>
      <w:r>
        <w:rPr>
          <w:rStyle w:val="CharacterStyle6"/>
          <w:spacing w:val="-5"/>
          <w:w w:val="105"/>
          <w:lang w:val="es-ES" w:eastAsia="es-ES"/>
        </w:rPr>
        <w:t xml:space="preserve">considerar a la segunda empresa mejor puntuada. Por lo anotado, el procedimiento que nos </w:t>
      </w:r>
      <w:r>
        <w:rPr>
          <w:rStyle w:val="CharacterStyle6"/>
          <w:spacing w:val="-3"/>
          <w:w w:val="105"/>
          <w:lang w:val="es-ES" w:eastAsia="es-ES"/>
        </w:rPr>
        <w:t xml:space="preserve">ocupa aún no posee la configuración final de la voluntad administrativa, sea el acto de adjudicación por lo que, técnicamente no podemos considerar el documento técnico no </w:t>
      </w:r>
      <w:r>
        <w:rPr>
          <w:rStyle w:val="CharacterStyle6"/>
          <w:w w:val="105"/>
          <w:lang w:val="es-ES" w:eastAsia="es-ES"/>
        </w:rPr>
        <w:t xml:space="preserve">objetado por el Banco Interamericano y comunicado a los oferentes, como el acto de </w:t>
      </w:r>
      <w:r>
        <w:rPr>
          <w:rStyle w:val="CharacterStyle6"/>
          <w:spacing w:val="-3"/>
          <w:w w:val="105"/>
          <w:lang w:val="es-ES" w:eastAsia="es-ES"/>
        </w:rPr>
        <w:t xml:space="preserve">adjudicación. Es hasta con la apertura del segundo sobre y la negociación final que lleve a </w:t>
      </w:r>
      <w:r>
        <w:rPr>
          <w:rStyle w:val="CharacterStyle6"/>
          <w:spacing w:val="-1"/>
          <w:w w:val="105"/>
          <w:lang w:val="es-ES" w:eastAsia="es-ES"/>
        </w:rPr>
        <w:t xml:space="preserve">cabo la administración, en punto al precio por adjudicar, que esa voluntad puede darse y, allí sí, presentarse la posibilidad de recurrir el acto. </w:t>
      </w:r>
      <w:r>
        <w:rPr>
          <w:rStyle w:val="CharacterStyle6"/>
          <w:b/>
          <w:bCs/>
          <w:spacing w:val="-1"/>
          <w:w w:val="105"/>
          <w:sz w:val="23"/>
          <w:szCs w:val="23"/>
          <w:lang w:val="es-ES" w:eastAsia="es-ES"/>
        </w:rPr>
        <w:t xml:space="preserve">(Resolución </w:t>
      </w:r>
      <w:r w:rsidRPr="00B17A12">
        <w:rPr>
          <w:rStyle w:val="CharacterStyle6"/>
          <w:b/>
          <w:spacing w:val="-3"/>
          <w:w w:val="105"/>
          <w:lang w:val="es-ES" w:eastAsia="es-ES"/>
        </w:rPr>
        <w:t>No. R-DAGJ-46-2003 de las 15:00 horas del 30 de abril de 2003).</w:t>
      </w:r>
      <w:r>
        <w:rPr>
          <w:rStyle w:val="CharacterStyle6"/>
          <w:b/>
          <w:bCs/>
          <w:spacing w:val="109"/>
          <w:w w:val="105"/>
          <w:sz w:val="23"/>
          <w:szCs w:val="23"/>
          <w:lang w:val="es-ES" w:eastAsia="es-ES"/>
        </w:rPr>
        <w:t xml:space="preserve"> </w:t>
      </w:r>
    </w:p>
    <w:p w:rsidR="00C9129E" w:rsidRDefault="00C9129E">
      <w:pPr>
        <w:jc w:val="center"/>
      </w:pPr>
    </w:p>
    <w:p w:rsidR="00740050" w:rsidRDefault="00740050">
      <w:pPr>
        <w:jc w:val="center"/>
      </w:pPr>
    </w:p>
    <w:p w:rsidR="00740050" w:rsidRDefault="00740050">
      <w:pPr>
        <w:jc w:val="center"/>
      </w:pPr>
    </w:p>
    <w:p w:rsidR="00C9129E" w:rsidRDefault="00C9129E">
      <w:pPr>
        <w:pStyle w:val="Style5"/>
        <w:kinsoku w:val="0"/>
        <w:autoSpaceDE/>
        <w:autoSpaceDN/>
        <w:spacing w:line="233" w:lineRule="exact"/>
        <w:rPr>
          <w:rStyle w:val="CharacterStyle5"/>
          <w:b/>
          <w:spacing w:val="-6"/>
          <w:w w:val="105"/>
          <w:lang w:val="es-ES" w:eastAsia="es-ES"/>
        </w:rPr>
      </w:pPr>
      <w:r>
        <w:rPr>
          <w:rStyle w:val="CharacterStyle5"/>
          <w:bCs w:val="0"/>
          <w:spacing w:val="-5"/>
          <w:w w:val="105"/>
          <w:sz w:val="24"/>
          <w:szCs w:val="24"/>
          <w:lang w:val="es-ES" w:eastAsia="es-ES"/>
        </w:rPr>
        <w:t xml:space="preserve">Lic. Mario </w:t>
      </w:r>
      <w:proofErr w:type="spellStart"/>
      <w:r>
        <w:rPr>
          <w:rStyle w:val="CharacterStyle5"/>
          <w:bCs w:val="0"/>
          <w:spacing w:val="-5"/>
          <w:w w:val="105"/>
          <w:sz w:val="24"/>
          <w:szCs w:val="24"/>
          <w:lang w:val="es-ES" w:eastAsia="es-ES"/>
        </w:rPr>
        <w:t>Quesáda</w:t>
      </w:r>
      <w:proofErr w:type="spellEnd"/>
      <w:r>
        <w:rPr>
          <w:rStyle w:val="CharacterStyle5"/>
          <w:bCs w:val="0"/>
          <w:spacing w:val="-5"/>
          <w:w w:val="105"/>
          <w:sz w:val="24"/>
          <w:szCs w:val="24"/>
          <w:lang w:val="es-ES" w:eastAsia="es-ES"/>
        </w:rPr>
        <w:t xml:space="preserve"> Aguirre</w:t>
      </w:r>
      <w:r>
        <w:rPr>
          <w:rStyle w:val="CharacterStyle5"/>
          <w:bCs w:val="0"/>
          <w:spacing w:val="-5"/>
          <w:w w:val="105"/>
          <w:sz w:val="24"/>
          <w:szCs w:val="24"/>
          <w:lang w:val="es-ES" w:eastAsia="es-ES"/>
        </w:rPr>
        <w:br/>
      </w:r>
      <w:r>
        <w:rPr>
          <w:rStyle w:val="CharacterStyle5"/>
          <w:b/>
          <w:spacing w:val="-6"/>
          <w:w w:val="105"/>
          <w:lang w:val="es-ES" w:eastAsia="es-ES"/>
        </w:rPr>
        <w:t>JUEZ</w:t>
      </w:r>
    </w:p>
    <w:sectPr w:rsidR="00C9129E">
      <w:pgSz w:w="12240" w:h="15840"/>
      <w:pgMar w:top="866" w:right="2025" w:bottom="394" w:left="2086"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2713"/>
    <w:multiLevelType w:val="singleLevel"/>
    <w:tmpl w:val="68DA0F9F"/>
    <w:lvl w:ilvl="0">
      <w:start w:val="1"/>
      <w:numFmt w:val="lowerLetter"/>
      <w:lvlText w:val="%1)"/>
      <w:lvlJc w:val="left"/>
      <w:pPr>
        <w:tabs>
          <w:tab w:val="num" w:pos="288"/>
        </w:tabs>
        <w:ind w:left="504" w:firstLine="72"/>
      </w:pPr>
      <w:rPr>
        <w:rFonts w:ascii="Verdana" w:hAnsi="Verdana" w:cs="Verdana"/>
        <w:snapToGrid/>
        <w:spacing w:val="5"/>
        <w:sz w:val="18"/>
        <w:szCs w:val="18"/>
      </w:rPr>
    </w:lvl>
  </w:abstractNum>
  <w:abstractNum w:abstractNumId="1">
    <w:nsid w:val="02C4257E"/>
    <w:multiLevelType w:val="singleLevel"/>
    <w:tmpl w:val="3605A8BB"/>
    <w:lvl w:ilvl="0">
      <w:start w:val="4"/>
      <w:numFmt w:val="decimal"/>
      <w:lvlText w:val="%1.-"/>
      <w:lvlJc w:val="left"/>
      <w:pPr>
        <w:tabs>
          <w:tab w:val="num" w:pos="432"/>
        </w:tabs>
        <w:ind w:left="72"/>
      </w:pPr>
      <w:rPr>
        <w:rFonts w:ascii="Verdana" w:hAnsi="Verdana" w:cs="Verdana"/>
        <w:b/>
        <w:bCs/>
        <w:snapToGrid/>
        <w:spacing w:val="18"/>
        <w:w w:val="105"/>
        <w:sz w:val="20"/>
        <w:szCs w:val="20"/>
      </w:rPr>
    </w:lvl>
  </w:abstractNum>
  <w:abstractNum w:abstractNumId="2">
    <w:nsid w:val="035BA774"/>
    <w:multiLevelType w:val="singleLevel"/>
    <w:tmpl w:val="3F05E0B4"/>
    <w:lvl w:ilvl="0">
      <w:start w:val="1"/>
      <w:numFmt w:val="decimal"/>
      <w:lvlText w:val="%1.-"/>
      <w:lvlJc w:val="left"/>
      <w:pPr>
        <w:tabs>
          <w:tab w:val="num" w:pos="432"/>
        </w:tabs>
        <w:ind w:firstLine="72"/>
      </w:pPr>
      <w:rPr>
        <w:rFonts w:ascii="Verdana" w:hAnsi="Verdana" w:cs="Verdana"/>
        <w:b/>
        <w:bCs/>
        <w:snapToGrid/>
        <w:spacing w:val="-8"/>
        <w:w w:val="105"/>
        <w:sz w:val="20"/>
        <w:szCs w:val="20"/>
      </w:rPr>
    </w:lvl>
  </w:abstractNum>
  <w:abstractNum w:abstractNumId="3">
    <w:nsid w:val="04046BD7"/>
    <w:multiLevelType w:val="singleLevel"/>
    <w:tmpl w:val="279075BC"/>
    <w:lvl w:ilvl="0">
      <w:start w:val="1"/>
      <w:numFmt w:val="upperRoman"/>
      <w:lvlText w:val="%1.-"/>
      <w:lvlJc w:val="left"/>
      <w:pPr>
        <w:tabs>
          <w:tab w:val="num" w:pos="432"/>
        </w:tabs>
        <w:ind w:firstLine="72"/>
      </w:pPr>
      <w:rPr>
        <w:rFonts w:ascii="Verdana" w:hAnsi="Verdana" w:cs="Verdana"/>
        <w:snapToGrid/>
        <w:sz w:val="20"/>
        <w:szCs w:val="20"/>
      </w:rPr>
    </w:lvl>
  </w:abstractNum>
  <w:abstractNum w:abstractNumId="4">
    <w:nsid w:val="046B3F0D"/>
    <w:multiLevelType w:val="singleLevel"/>
    <w:tmpl w:val="62644A11"/>
    <w:lvl w:ilvl="0">
      <w:start w:val="1"/>
      <w:numFmt w:val="lowerLetter"/>
      <w:lvlText w:val="%1)"/>
      <w:lvlJc w:val="left"/>
      <w:pPr>
        <w:tabs>
          <w:tab w:val="num" w:pos="1296"/>
        </w:tabs>
        <w:ind w:firstLine="144"/>
      </w:pPr>
      <w:rPr>
        <w:rFonts w:ascii="Verdana" w:hAnsi="Verdana" w:cs="Verdana"/>
        <w:i/>
        <w:iCs/>
        <w:snapToGrid/>
        <w:spacing w:val="-7"/>
        <w:w w:val="105"/>
        <w:sz w:val="15"/>
        <w:szCs w:val="15"/>
      </w:rPr>
    </w:lvl>
  </w:abstractNum>
  <w:abstractNum w:abstractNumId="5">
    <w:nsid w:val="049D446C"/>
    <w:multiLevelType w:val="singleLevel"/>
    <w:tmpl w:val="22578B76"/>
    <w:lvl w:ilvl="0">
      <w:start w:val="3"/>
      <w:numFmt w:val="lowerLetter"/>
      <w:lvlText w:val="%1)"/>
      <w:lvlJc w:val="left"/>
      <w:pPr>
        <w:tabs>
          <w:tab w:val="num" w:pos="288"/>
        </w:tabs>
        <w:ind w:left="576" w:firstLine="72"/>
      </w:pPr>
      <w:rPr>
        <w:rFonts w:ascii="Verdana" w:hAnsi="Verdana" w:cs="Verdana"/>
        <w:snapToGrid/>
        <w:spacing w:val="4"/>
        <w:sz w:val="18"/>
        <w:szCs w:val="18"/>
      </w:rPr>
    </w:lvl>
  </w:abstractNum>
  <w:abstractNum w:abstractNumId="6">
    <w:nsid w:val="04EFB6AB"/>
    <w:multiLevelType w:val="singleLevel"/>
    <w:tmpl w:val="4749285C"/>
    <w:lvl w:ilvl="0">
      <w:start w:val="1"/>
      <w:numFmt w:val="lowerLetter"/>
      <w:lvlText w:val="%1).-"/>
      <w:lvlJc w:val="left"/>
      <w:pPr>
        <w:tabs>
          <w:tab w:val="num" w:pos="720"/>
        </w:tabs>
        <w:ind w:left="72" w:firstLine="72"/>
      </w:pPr>
      <w:rPr>
        <w:rFonts w:cs="Times New Roman"/>
        <w:snapToGrid/>
        <w:spacing w:val="1"/>
        <w:w w:val="105"/>
        <w:sz w:val="24"/>
        <w:szCs w:val="24"/>
      </w:rPr>
    </w:lvl>
  </w:abstractNum>
  <w:abstractNum w:abstractNumId="7">
    <w:nsid w:val="054F6E56"/>
    <w:multiLevelType w:val="singleLevel"/>
    <w:tmpl w:val="2781609C"/>
    <w:lvl w:ilvl="0">
      <w:start w:val="2"/>
      <w:numFmt w:val="lowerLetter"/>
      <w:lvlText w:val="%1)-"/>
      <w:lvlJc w:val="left"/>
      <w:pPr>
        <w:tabs>
          <w:tab w:val="num" w:pos="432"/>
        </w:tabs>
        <w:ind w:firstLine="72"/>
      </w:pPr>
      <w:rPr>
        <w:rFonts w:ascii="Verdana" w:hAnsi="Verdana" w:cs="Verdana"/>
        <w:snapToGrid/>
        <w:spacing w:val="10"/>
        <w:sz w:val="20"/>
        <w:szCs w:val="20"/>
      </w:rPr>
    </w:lvl>
  </w:abstractNum>
  <w:abstractNum w:abstractNumId="8">
    <w:nsid w:val="05FD2DCC"/>
    <w:multiLevelType w:val="singleLevel"/>
    <w:tmpl w:val="0536243C"/>
    <w:lvl w:ilvl="0">
      <w:start w:val="1"/>
      <w:numFmt w:val="decimal"/>
      <w:lvlText w:val="%1."/>
      <w:lvlJc w:val="left"/>
      <w:pPr>
        <w:tabs>
          <w:tab w:val="num" w:pos="288"/>
        </w:tabs>
        <w:ind w:left="720" w:firstLine="72"/>
      </w:pPr>
      <w:rPr>
        <w:rFonts w:ascii="Verdana" w:hAnsi="Verdana" w:cs="Verdana"/>
        <w:b/>
        <w:bCs/>
        <w:i/>
        <w:iCs/>
        <w:snapToGrid/>
        <w:spacing w:val="-2"/>
        <w:w w:val="105"/>
        <w:sz w:val="15"/>
        <w:szCs w:val="15"/>
      </w:rPr>
    </w:lvl>
  </w:abstractNum>
  <w:abstractNum w:abstractNumId="9">
    <w:nsid w:val="0719258C"/>
    <w:multiLevelType w:val="singleLevel"/>
    <w:tmpl w:val="648F2E84"/>
    <w:lvl w:ilvl="0">
      <w:start w:val="1"/>
      <w:numFmt w:val="lowerLetter"/>
      <w:lvlText w:val="%1)-"/>
      <w:lvlJc w:val="left"/>
      <w:pPr>
        <w:tabs>
          <w:tab w:val="num" w:pos="432"/>
        </w:tabs>
        <w:ind w:firstLine="72"/>
      </w:pPr>
      <w:rPr>
        <w:rFonts w:ascii="Verdana" w:hAnsi="Verdana" w:cs="Verdana"/>
        <w:snapToGrid/>
        <w:spacing w:val="2"/>
        <w:sz w:val="20"/>
        <w:szCs w:val="20"/>
      </w:rPr>
    </w:lvl>
  </w:abstractNum>
  <w:abstractNum w:abstractNumId="10">
    <w:nsid w:val="07C47760"/>
    <w:multiLevelType w:val="singleLevel"/>
    <w:tmpl w:val="19D51266"/>
    <w:lvl w:ilvl="0">
      <w:start w:val="1"/>
      <w:numFmt w:val="decimal"/>
      <w:lvlText w:val="%1."/>
      <w:lvlJc w:val="left"/>
      <w:pPr>
        <w:tabs>
          <w:tab w:val="num" w:pos="216"/>
        </w:tabs>
        <w:ind w:left="360" w:hanging="288"/>
      </w:pPr>
      <w:rPr>
        <w:rFonts w:ascii="Verdana" w:hAnsi="Verdana" w:cs="Verdana"/>
        <w:snapToGrid/>
        <w:spacing w:val="6"/>
        <w:sz w:val="15"/>
        <w:szCs w:val="15"/>
      </w:rPr>
    </w:lvl>
  </w:abstractNum>
  <w:num w:numId="1">
    <w:abstractNumId w:val="8"/>
  </w:num>
  <w:num w:numId="2">
    <w:abstractNumId w:val="7"/>
  </w:num>
  <w:num w:numId="3">
    <w:abstractNumId w:val="7"/>
    <w:lvlOverride w:ilvl="0">
      <w:lvl w:ilvl="0">
        <w:numFmt w:val="lowerLetter"/>
        <w:lvlText w:val="%1)-"/>
        <w:lvlJc w:val="left"/>
        <w:pPr>
          <w:tabs>
            <w:tab w:val="num" w:pos="288"/>
          </w:tabs>
          <w:ind w:firstLine="72"/>
        </w:pPr>
        <w:rPr>
          <w:rFonts w:ascii="Verdana" w:hAnsi="Verdana" w:cs="Verdana"/>
          <w:snapToGrid/>
          <w:spacing w:val="3"/>
          <w:sz w:val="20"/>
          <w:szCs w:val="20"/>
        </w:rPr>
      </w:lvl>
    </w:lvlOverride>
  </w:num>
  <w:num w:numId="4">
    <w:abstractNumId w:val="4"/>
  </w:num>
  <w:num w:numId="5">
    <w:abstractNumId w:val="10"/>
  </w:num>
  <w:num w:numId="6">
    <w:abstractNumId w:val="10"/>
    <w:lvlOverride w:ilvl="0">
      <w:lvl w:ilvl="0">
        <w:numFmt w:val="decimal"/>
        <w:lvlText w:val="%1."/>
        <w:lvlJc w:val="left"/>
        <w:pPr>
          <w:tabs>
            <w:tab w:val="num" w:pos="288"/>
          </w:tabs>
          <w:ind w:left="360" w:hanging="288"/>
        </w:pPr>
        <w:rPr>
          <w:rFonts w:ascii="Verdana" w:hAnsi="Verdana" w:cs="Verdana"/>
          <w:snapToGrid/>
          <w:spacing w:val="3"/>
          <w:sz w:val="15"/>
          <w:szCs w:val="15"/>
        </w:rPr>
      </w:lvl>
    </w:lvlOverride>
  </w:num>
  <w:num w:numId="7">
    <w:abstractNumId w:val="2"/>
  </w:num>
  <w:num w:numId="8">
    <w:abstractNumId w:val="1"/>
  </w:num>
  <w:num w:numId="9">
    <w:abstractNumId w:val="9"/>
  </w:num>
  <w:num w:numId="10">
    <w:abstractNumId w:val="9"/>
    <w:lvlOverride w:ilvl="0">
      <w:lvl w:ilvl="0">
        <w:numFmt w:val="lowerLetter"/>
        <w:lvlText w:val="%1)-"/>
        <w:lvlJc w:val="left"/>
        <w:pPr>
          <w:tabs>
            <w:tab w:val="num" w:pos="288"/>
          </w:tabs>
          <w:ind w:firstLine="72"/>
        </w:pPr>
        <w:rPr>
          <w:rFonts w:ascii="Verdana" w:hAnsi="Verdana" w:cs="Verdana"/>
          <w:snapToGrid/>
          <w:spacing w:val="3"/>
          <w:sz w:val="20"/>
          <w:szCs w:val="20"/>
        </w:rPr>
      </w:lvl>
    </w:lvlOverride>
  </w:num>
  <w:num w:numId="11">
    <w:abstractNumId w:val="0"/>
  </w:num>
  <w:num w:numId="12">
    <w:abstractNumId w:val="5"/>
  </w:num>
  <w:num w:numId="13">
    <w:abstractNumId w:val="3"/>
  </w:num>
  <w:num w:numId="14">
    <w:abstractNumId w:val="3"/>
    <w:lvlOverride w:ilvl="0">
      <w:lvl w:ilvl="0">
        <w:numFmt w:val="upperRoman"/>
        <w:lvlText w:val="%1.-"/>
        <w:lvlJc w:val="left"/>
        <w:pPr>
          <w:tabs>
            <w:tab w:val="num" w:pos="576"/>
          </w:tabs>
          <w:ind w:firstLine="72"/>
        </w:pPr>
        <w:rPr>
          <w:rFonts w:ascii="Verdana" w:hAnsi="Verdana" w:cs="Verdana"/>
          <w:snapToGrid/>
          <w:spacing w:val="1"/>
          <w:sz w:val="20"/>
          <w:szCs w:val="20"/>
        </w:rPr>
      </w:lvl>
    </w:lvlOverride>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6825BF"/>
    <w:rsid w:val="00035D02"/>
    <w:rsid w:val="00081208"/>
    <w:rsid w:val="000D7401"/>
    <w:rsid w:val="00105FEA"/>
    <w:rsid w:val="002D65C3"/>
    <w:rsid w:val="00336E18"/>
    <w:rsid w:val="00347D32"/>
    <w:rsid w:val="003D7D71"/>
    <w:rsid w:val="005879C1"/>
    <w:rsid w:val="006825BF"/>
    <w:rsid w:val="00740050"/>
    <w:rsid w:val="00797964"/>
    <w:rsid w:val="00B17A12"/>
    <w:rsid w:val="00BA6DDA"/>
    <w:rsid w:val="00C9129E"/>
    <w:rsid w:val="00E67980"/>
    <w:rsid w:val="00E73DC9"/>
    <w:rsid w:val="00EB0C3D"/>
    <w:rsid w:val="00FB7C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216"/>
      <w:ind w:left="288" w:right="936"/>
      <w:jc w:val="both"/>
    </w:pPr>
    <w:rPr>
      <w:sz w:val="15"/>
      <w:szCs w:val="15"/>
    </w:rPr>
  </w:style>
  <w:style w:type="paragraph" w:customStyle="1" w:styleId="Style1">
    <w:name w:val="Style 1"/>
    <w:basedOn w:val="Normal"/>
    <w:uiPriority w:val="99"/>
    <w:pPr>
      <w:kinsoku/>
      <w:autoSpaceDE w:val="0"/>
      <w:autoSpaceDN w:val="0"/>
      <w:adjustRightInd w:val="0"/>
    </w:pPr>
  </w:style>
  <w:style w:type="paragraph" w:customStyle="1" w:styleId="Style6">
    <w:name w:val="Style 6"/>
    <w:basedOn w:val="Normal"/>
    <w:uiPriority w:val="99"/>
    <w:pPr>
      <w:kinsoku/>
      <w:autoSpaceDE w:val="0"/>
      <w:autoSpaceDN w:val="0"/>
      <w:adjustRightInd w:val="0"/>
    </w:pPr>
    <w:rPr>
      <w:sz w:val="20"/>
      <w:szCs w:val="20"/>
    </w:rPr>
  </w:style>
  <w:style w:type="paragraph" w:customStyle="1" w:styleId="Style17">
    <w:name w:val="Style 17"/>
    <w:basedOn w:val="Normal"/>
    <w:uiPriority w:val="99"/>
    <w:pPr>
      <w:kinsoku/>
      <w:autoSpaceDE w:val="0"/>
      <w:autoSpaceDN w:val="0"/>
      <w:spacing w:before="180"/>
      <w:ind w:left="720" w:right="720"/>
      <w:jc w:val="both"/>
    </w:pPr>
    <w:rPr>
      <w:i/>
      <w:iCs/>
      <w:sz w:val="15"/>
      <w:szCs w:val="15"/>
    </w:rPr>
  </w:style>
  <w:style w:type="paragraph" w:customStyle="1" w:styleId="Style14">
    <w:name w:val="Style 14"/>
    <w:basedOn w:val="Normal"/>
    <w:uiPriority w:val="99"/>
    <w:pPr>
      <w:kinsoku/>
      <w:autoSpaceDE w:val="0"/>
      <w:autoSpaceDN w:val="0"/>
      <w:spacing w:before="360"/>
      <w:ind w:right="72"/>
      <w:jc w:val="both"/>
    </w:pPr>
    <w:rPr>
      <w:sz w:val="18"/>
      <w:szCs w:val="18"/>
    </w:rPr>
  </w:style>
  <w:style w:type="paragraph" w:customStyle="1" w:styleId="Style13">
    <w:name w:val="Style 13"/>
    <w:basedOn w:val="Normal"/>
    <w:uiPriority w:val="99"/>
    <w:pPr>
      <w:kinsoku/>
      <w:autoSpaceDE w:val="0"/>
      <w:autoSpaceDN w:val="0"/>
      <w:ind w:right="72" w:firstLine="72"/>
      <w:jc w:val="both"/>
    </w:pPr>
    <w:rPr>
      <w:sz w:val="20"/>
      <w:szCs w:val="20"/>
    </w:rPr>
  </w:style>
  <w:style w:type="paragraph" w:customStyle="1" w:styleId="Style15">
    <w:name w:val="Style 15"/>
    <w:basedOn w:val="Normal"/>
    <w:uiPriority w:val="99"/>
    <w:pPr>
      <w:kinsoku/>
      <w:autoSpaceDE w:val="0"/>
      <w:autoSpaceDN w:val="0"/>
      <w:spacing w:before="324"/>
      <w:ind w:left="504" w:right="576"/>
      <w:jc w:val="both"/>
    </w:pPr>
    <w:rPr>
      <w:sz w:val="18"/>
      <w:szCs w:val="18"/>
    </w:rPr>
  </w:style>
  <w:style w:type="paragraph" w:customStyle="1" w:styleId="Style16">
    <w:name w:val="Style 16"/>
    <w:basedOn w:val="Normal"/>
    <w:uiPriority w:val="99"/>
    <w:pPr>
      <w:kinsoku/>
      <w:autoSpaceDE w:val="0"/>
      <w:autoSpaceDN w:val="0"/>
      <w:spacing w:before="288"/>
      <w:ind w:left="576" w:right="504" w:firstLine="72"/>
      <w:jc w:val="both"/>
    </w:pPr>
    <w:rPr>
      <w:sz w:val="20"/>
      <w:szCs w:val="20"/>
    </w:rPr>
  </w:style>
  <w:style w:type="paragraph" w:customStyle="1" w:styleId="Style18">
    <w:name w:val="Style 18"/>
    <w:basedOn w:val="Normal"/>
    <w:uiPriority w:val="99"/>
    <w:pPr>
      <w:kinsoku/>
      <w:autoSpaceDE w:val="0"/>
      <w:autoSpaceDN w:val="0"/>
      <w:spacing w:before="144"/>
      <w:ind w:firstLine="72"/>
    </w:pPr>
  </w:style>
  <w:style w:type="paragraph" w:customStyle="1" w:styleId="Style19">
    <w:name w:val="Style 19"/>
    <w:basedOn w:val="Normal"/>
    <w:uiPriority w:val="99"/>
    <w:pPr>
      <w:kinsoku/>
      <w:autoSpaceDE w:val="0"/>
      <w:autoSpaceDN w:val="0"/>
      <w:spacing w:before="144"/>
      <w:jc w:val="both"/>
    </w:pPr>
    <w:rPr>
      <w:i/>
      <w:iCs/>
    </w:rPr>
  </w:style>
  <w:style w:type="paragraph" w:customStyle="1" w:styleId="Style20">
    <w:name w:val="Style 20"/>
    <w:basedOn w:val="Normal"/>
    <w:uiPriority w:val="99"/>
    <w:pPr>
      <w:kinsoku/>
      <w:autoSpaceDE w:val="0"/>
      <w:autoSpaceDN w:val="0"/>
      <w:ind w:right="72"/>
      <w:jc w:val="both"/>
    </w:pPr>
  </w:style>
  <w:style w:type="paragraph" w:customStyle="1" w:styleId="Style4">
    <w:name w:val="Style 4"/>
    <w:basedOn w:val="Normal"/>
    <w:uiPriority w:val="99"/>
    <w:pPr>
      <w:kinsoku/>
      <w:autoSpaceDE w:val="0"/>
      <w:autoSpaceDN w:val="0"/>
      <w:spacing w:before="36"/>
      <w:ind w:right="72"/>
      <w:jc w:val="both"/>
    </w:pPr>
    <w:rPr>
      <w:b/>
      <w:bCs/>
      <w:sz w:val="23"/>
      <w:szCs w:val="23"/>
    </w:rPr>
  </w:style>
  <w:style w:type="paragraph" w:customStyle="1" w:styleId="Style5">
    <w:name w:val="Style 5"/>
    <w:basedOn w:val="Normal"/>
    <w:uiPriority w:val="99"/>
    <w:pPr>
      <w:kinsoku/>
      <w:autoSpaceDE w:val="0"/>
      <w:autoSpaceDN w:val="0"/>
      <w:spacing w:line="228" w:lineRule="exact"/>
      <w:jc w:val="center"/>
    </w:pPr>
    <w:rPr>
      <w:b/>
      <w:bCs/>
      <w:sz w:val="23"/>
      <w:szCs w:val="23"/>
    </w:rPr>
  </w:style>
  <w:style w:type="paragraph" w:customStyle="1" w:styleId="Style7">
    <w:name w:val="Style 7"/>
    <w:basedOn w:val="Normal"/>
    <w:uiPriority w:val="99"/>
    <w:pPr>
      <w:kinsoku/>
      <w:autoSpaceDE w:val="0"/>
      <w:autoSpaceDN w:val="0"/>
      <w:spacing w:before="252" w:line="300" w:lineRule="auto"/>
      <w:ind w:right="72" w:firstLine="144"/>
      <w:jc w:val="both"/>
    </w:pPr>
    <w:rPr>
      <w:i/>
      <w:iCs/>
      <w:sz w:val="14"/>
      <w:szCs w:val="14"/>
      <w:u w:val="single"/>
    </w:rPr>
  </w:style>
  <w:style w:type="paragraph" w:customStyle="1" w:styleId="Style11">
    <w:name w:val="Style 11"/>
    <w:basedOn w:val="Normal"/>
    <w:uiPriority w:val="99"/>
    <w:pPr>
      <w:kinsoku/>
      <w:autoSpaceDE w:val="0"/>
      <w:autoSpaceDN w:val="0"/>
      <w:spacing w:before="252" w:line="283" w:lineRule="auto"/>
      <w:ind w:left="360" w:right="72"/>
      <w:jc w:val="both"/>
    </w:pPr>
  </w:style>
  <w:style w:type="paragraph" w:customStyle="1" w:styleId="Style10">
    <w:name w:val="Style 10"/>
    <w:basedOn w:val="Normal"/>
    <w:uiPriority w:val="99"/>
    <w:pPr>
      <w:kinsoku/>
      <w:autoSpaceDE w:val="0"/>
      <w:autoSpaceDN w:val="0"/>
      <w:spacing w:before="252" w:line="290" w:lineRule="auto"/>
      <w:ind w:left="72"/>
      <w:jc w:val="both"/>
    </w:pPr>
  </w:style>
  <w:style w:type="paragraph" w:customStyle="1" w:styleId="Style8">
    <w:name w:val="Style 8"/>
    <w:basedOn w:val="Normal"/>
    <w:uiPriority w:val="99"/>
    <w:pPr>
      <w:kinsoku/>
      <w:autoSpaceDE w:val="0"/>
      <w:autoSpaceDN w:val="0"/>
      <w:ind w:firstLine="72"/>
      <w:jc w:val="both"/>
    </w:pPr>
  </w:style>
  <w:style w:type="paragraph" w:customStyle="1" w:styleId="Style12">
    <w:name w:val="Style 12"/>
    <w:basedOn w:val="Normal"/>
    <w:uiPriority w:val="99"/>
    <w:pPr>
      <w:kinsoku/>
      <w:autoSpaceDE w:val="0"/>
      <w:autoSpaceDN w:val="0"/>
      <w:spacing w:before="360" w:line="192" w:lineRule="auto"/>
      <w:ind w:left="72"/>
    </w:pPr>
    <w:rPr>
      <w:b/>
      <w:bCs/>
      <w:sz w:val="20"/>
      <w:szCs w:val="20"/>
    </w:rPr>
  </w:style>
  <w:style w:type="paragraph" w:customStyle="1" w:styleId="Style9">
    <w:name w:val="Style 9"/>
    <w:basedOn w:val="Normal"/>
    <w:uiPriority w:val="99"/>
    <w:pPr>
      <w:kinsoku/>
      <w:autoSpaceDE w:val="0"/>
      <w:autoSpaceDN w:val="0"/>
      <w:spacing w:before="252" w:line="285" w:lineRule="auto"/>
      <w:ind w:right="72"/>
      <w:jc w:val="both"/>
    </w:pPr>
  </w:style>
  <w:style w:type="paragraph" w:customStyle="1" w:styleId="Style21">
    <w:name w:val="Style 21"/>
    <w:basedOn w:val="Normal"/>
    <w:uiPriority w:val="99"/>
    <w:pPr>
      <w:kinsoku/>
      <w:autoSpaceDE w:val="0"/>
      <w:autoSpaceDN w:val="0"/>
      <w:adjustRightInd w:val="0"/>
    </w:pPr>
  </w:style>
  <w:style w:type="character" w:customStyle="1" w:styleId="CharacterStyle1">
    <w:name w:val="Character Style 1"/>
    <w:uiPriority w:val="99"/>
    <w:rPr>
      <w:sz w:val="15"/>
    </w:rPr>
  </w:style>
  <w:style w:type="character" w:customStyle="1" w:styleId="CharacterStyle3">
    <w:name w:val="Character Style 3"/>
    <w:uiPriority w:val="99"/>
    <w:rPr>
      <w:sz w:val="20"/>
    </w:rPr>
  </w:style>
  <w:style w:type="character" w:customStyle="1" w:styleId="CharacterStyle4">
    <w:name w:val="Character Style 4"/>
    <w:uiPriority w:val="99"/>
    <w:rPr>
      <w:i/>
      <w:sz w:val="15"/>
    </w:rPr>
  </w:style>
  <w:style w:type="character" w:customStyle="1" w:styleId="CharacterStyle5">
    <w:name w:val="Character Style 5"/>
    <w:uiPriority w:val="99"/>
    <w:rPr>
      <w:b/>
      <w:sz w:val="23"/>
    </w:rPr>
  </w:style>
  <w:style w:type="character" w:customStyle="1" w:styleId="CharacterStyle10">
    <w:name w:val="Character Style 10"/>
    <w:uiPriority w:val="99"/>
    <w:rPr>
      <w:b/>
      <w:sz w:val="20"/>
    </w:rPr>
  </w:style>
  <w:style w:type="character" w:customStyle="1" w:styleId="CharacterStyle6">
    <w:name w:val="Character Style 6"/>
    <w:uiPriority w:val="99"/>
    <w:rPr>
      <w:sz w:val="24"/>
    </w:rPr>
  </w:style>
  <w:style w:type="character" w:customStyle="1" w:styleId="CharacterStyle7">
    <w:name w:val="Character Style 7"/>
    <w:uiPriority w:val="99"/>
    <w:rPr>
      <w:sz w:val="20"/>
    </w:rPr>
  </w:style>
  <w:style w:type="character" w:customStyle="1" w:styleId="CharacterStyle8">
    <w:name w:val="Character Style 8"/>
    <w:uiPriority w:val="99"/>
    <w:rPr>
      <w:sz w:val="18"/>
    </w:rPr>
  </w:style>
  <w:style w:type="character" w:customStyle="1" w:styleId="CharacterStyle9">
    <w:name w:val="Character Style 9"/>
    <w:uiPriority w:val="99"/>
    <w:rPr>
      <w:i/>
      <w:sz w:val="14"/>
      <w:u w:val="single"/>
    </w:rPr>
  </w:style>
  <w:style w:type="character" w:customStyle="1" w:styleId="CharacterStyle11">
    <w:name w:val="Character Style 11"/>
    <w:uiPriority w:val="99"/>
    <w:rPr>
      <w:i/>
      <w:sz w:val="24"/>
    </w:rPr>
  </w:style>
</w:styles>
</file>

<file path=word/webSettings.xml><?xml version="1.0" encoding="utf-8"?>
<w:webSettings xmlns:r="http://schemas.openxmlformats.org/officeDocument/2006/relationships" xmlns:w="http://schemas.openxmlformats.org/wordprocessingml/2006/main">
  <w:divs>
    <w:div w:id="4564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6811</Words>
  <Characters>37463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2014-09-30T14:36:00Z</dcterms:created>
  <dcterms:modified xsi:type="dcterms:W3CDTF">2014-09-30T14:36:00Z</dcterms:modified>
</cp:coreProperties>
</file>